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0" w:type="dxa"/>
        <w:tblInd w:w="94" w:type="dxa"/>
        <w:tblLayout w:type="fixed"/>
        <w:tblLook w:val="0000"/>
      </w:tblPr>
      <w:tblGrid>
        <w:gridCol w:w="3780"/>
        <w:gridCol w:w="1127"/>
        <w:gridCol w:w="1770"/>
        <w:gridCol w:w="1080"/>
        <w:gridCol w:w="1613"/>
      </w:tblGrid>
      <w:tr w:rsidR="003519EE" w:rsidTr="00396E70">
        <w:trPr>
          <w:trHeight w:val="139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19EE" w:rsidRDefault="003519EE" w:rsidP="00396E7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</w:t>
            </w:r>
            <w:r w:rsidRPr="0011594F">
              <w:rPr>
                <w:color w:val="000000"/>
                <w:sz w:val="20"/>
                <w:szCs w:val="20"/>
              </w:rPr>
              <w:t>1</w:t>
            </w:r>
            <w:r w:rsidR="00396E70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к  решению Собрания депутатов Сандатовского сельского поселения   "О  бюджете Сандатовского сельского поселения Сальского района  на 201</w:t>
            </w:r>
            <w:r w:rsidR="00396E7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  <w:r w:rsidR="00396E70">
              <w:rPr>
                <w:color w:val="000000"/>
                <w:sz w:val="20"/>
                <w:szCs w:val="20"/>
              </w:rPr>
              <w:t>»</w:t>
            </w:r>
          </w:p>
        </w:tc>
      </w:tr>
      <w:tr w:rsidR="003519EE" w:rsidTr="00396E70">
        <w:trPr>
          <w:trHeight w:val="285"/>
        </w:trPr>
        <w:tc>
          <w:tcPr>
            <w:tcW w:w="93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19EE" w:rsidRPr="009F4891" w:rsidRDefault="003519EE" w:rsidP="00396E70">
            <w:pPr>
              <w:jc w:val="center"/>
              <w:rPr>
                <w:b/>
              </w:rPr>
            </w:pPr>
            <w:r>
              <w:rPr>
                <w:b/>
              </w:rPr>
              <w:t>Иные</w:t>
            </w:r>
            <w:r w:rsidRPr="009F4891">
              <w:rPr>
                <w:b/>
              </w:rPr>
              <w:t xml:space="preserve"> межбюджетн</w:t>
            </w:r>
            <w:r>
              <w:rPr>
                <w:b/>
              </w:rPr>
              <w:t xml:space="preserve">ые </w:t>
            </w:r>
            <w:r w:rsidRPr="009F4891">
              <w:rPr>
                <w:b/>
              </w:rPr>
              <w:t>трансферт</w:t>
            </w:r>
            <w:r>
              <w:rPr>
                <w:b/>
              </w:rPr>
              <w:t>ы</w:t>
            </w:r>
            <w:r w:rsidRPr="009F4891">
              <w:rPr>
                <w:b/>
              </w:rPr>
              <w:t>,  предо</w:t>
            </w:r>
            <w:r w:rsidR="00396E70">
              <w:rPr>
                <w:b/>
              </w:rPr>
              <w:t xml:space="preserve">ставляемые  </w:t>
            </w:r>
            <w:proofErr w:type="gramStart"/>
            <w:r w:rsidR="00396E70">
              <w:rPr>
                <w:b/>
              </w:rPr>
              <w:t>согласно  статьи</w:t>
            </w:r>
            <w:proofErr w:type="gramEnd"/>
            <w:r w:rsidR="00396E70">
              <w:rPr>
                <w:b/>
              </w:rPr>
              <w:t xml:space="preserve">   6</w:t>
            </w:r>
            <w:r w:rsidRPr="009F4891">
              <w:rPr>
                <w:b/>
              </w:rPr>
              <w:t xml:space="preserve">  решения Собрания депутатов Сальского района  «О  бюджете  Сальского района на  201</w:t>
            </w:r>
            <w:r w:rsidR="00396E70">
              <w:rPr>
                <w:b/>
              </w:rPr>
              <w:t>6</w:t>
            </w:r>
            <w:r w:rsidRPr="009F4891">
              <w:rPr>
                <w:b/>
              </w:rPr>
              <w:t xml:space="preserve">  год</w:t>
            </w:r>
            <w:r w:rsidR="00396E70">
              <w:rPr>
                <w:b/>
              </w:rPr>
              <w:t>»</w:t>
            </w:r>
            <w:r w:rsidRPr="009F4891">
              <w:rPr>
                <w:b/>
              </w:rPr>
              <w:t xml:space="preserve">  бюджету  Сандатовского сельского поселения Сальского  района,  за счет </w:t>
            </w:r>
            <w:r>
              <w:rPr>
                <w:b/>
              </w:rPr>
              <w:t>распределения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  <w:r w:rsidRPr="009F4891">
              <w:rPr>
                <w:b/>
              </w:rPr>
              <w:t xml:space="preserve"> </w:t>
            </w:r>
            <w:r w:rsidR="00E87423">
              <w:rPr>
                <w:b/>
              </w:rPr>
              <w:t>на 2016 год</w:t>
            </w:r>
          </w:p>
        </w:tc>
      </w:tr>
      <w:tr w:rsidR="003519EE" w:rsidTr="00396E70">
        <w:trPr>
          <w:trHeight w:val="285"/>
        </w:trPr>
        <w:tc>
          <w:tcPr>
            <w:tcW w:w="93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9EE" w:rsidRDefault="003519EE" w:rsidP="00371CDA"/>
        </w:tc>
      </w:tr>
      <w:tr w:rsidR="003519EE" w:rsidTr="00396E70">
        <w:trPr>
          <w:trHeight w:val="285"/>
        </w:trPr>
        <w:tc>
          <w:tcPr>
            <w:tcW w:w="93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9EE" w:rsidRDefault="003519EE" w:rsidP="00371CDA"/>
        </w:tc>
      </w:tr>
      <w:tr w:rsidR="003519EE" w:rsidTr="00396E70">
        <w:trPr>
          <w:trHeight w:val="285"/>
        </w:trPr>
        <w:tc>
          <w:tcPr>
            <w:tcW w:w="93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9EE" w:rsidRDefault="003519EE" w:rsidP="00371CDA"/>
        </w:tc>
      </w:tr>
      <w:tr w:rsidR="003519EE" w:rsidTr="00396E70">
        <w:trPr>
          <w:trHeight w:val="26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519EE" w:rsidTr="00396E70">
        <w:trPr>
          <w:trHeight w:val="26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19EE" w:rsidRDefault="003519EE" w:rsidP="00371CD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руб.)</w:t>
            </w:r>
          </w:p>
        </w:tc>
      </w:tr>
      <w:tr w:rsidR="003519EE" w:rsidTr="00396E70">
        <w:trPr>
          <w:trHeight w:val="624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19EE" w:rsidRDefault="003519EE" w:rsidP="00371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Направление расходования </w:t>
            </w:r>
            <w:r w:rsidRPr="009F4891">
              <w:rPr>
                <w:b/>
              </w:rPr>
              <w:t xml:space="preserve">за счет </w:t>
            </w:r>
            <w:r>
              <w:rPr>
                <w:b/>
              </w:rPr>
              <w:t>распределения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3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19EE" w:rsidRDefault="003519EE" w:rsidP="00371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классификация расходов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jc w:val="center"/>
              <w:rPr>
                <w:b/>
                <w:bCs/>
                <w:color w:val="000000"/>
              </w:rPr>
            </w:pPr>
          </w:p>
          <w:p w:rsidR="003519EE" w:rsidRDefault="003519EE" w:rsidP="00371CDA">
            <w:pPr>
              <w:jc w:val="center"/>
              <w:rPr>
                <w:b/>
                <w:bCs/>
                <w:color w:val="000000"/>
              </w:rPr>
            </w:pPr>
          </w:p>
          <w:p w:rsidR="003519EE" w:rsidRDefault="00E87423" w:rsidP="00371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3519EE" w:rsidTr="00396E70">
        <w:trPr>
          <w:trHeight w:val="792"/>
        </w:trPr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19EE" w:rsidRDefault="003519EE" w:rsidP="00371CDA">
            <w:pPr>
              <w:rPr>
                <w:b/>
                <w:bCs/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6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519EE" w:rsidRPr="00F14C17" w:rsidTr="00396E70">
        <w:trPr>
          <w:trHeight w:val="129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rPr>
                <w:color w:val="000000"/>
              </w:rPr>
            </w:pPr>
            <w:r w:rsidRPr="00AC5CA6">
              <w:rPr>
                <w:color w:val="000000"/>
              </w:rPr>
              <w:t>Иные межбюджетные трансферты на ремонт и 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Сандатовского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04 09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96E70" w:rsidP="00371CDA">
            <w:pPr>
              <w:rPr>
                <w:color w:val="000000"/>
              </w:rPr>
            </w:pPr>
            <w:r w:rsidRPr="00396E70">
              <w:rPr>
                <w:color w:val="000000"/>
              </w:rPr>
              <w:t>07 1 00 73510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Pr="00F14C17" w:rsidRDefault="003519EE" w:rsidP="00371CDA">
            <w:pPr>
              <w:jc w:val="right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286,6</w:t>
            </w:r>
          </w:p>
        </w:tc>
      </w:tr>
      <w:tr w:rsidR="003519EE" w:rsidRPr="00F14C17" w:rsidTr="00396E70">
        <w:trPr>
          <w:trHeight w:val="1296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Pr="00AC5CA6" w:rsidRDefault="00396E70" w:rsidP="00371CDA">
            <w:pPr>
              <w:rPr>
                <w:color w:val="000000"/>
              </w:rPr>
            </w:pPr>
            <w:r w:rsidRPr="00396E70">
              <w:rPr>
                <w:szCs w:val="28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Сандатовского сельского поселения «Развитие культуры» (Субсидии бюджетным учреждениям)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96E70" w:rsidP="00371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Pr="00C547CD" w:rsidRDefault="00396E70" w:rsidP="00371CDA">
            <w:pPr>
              <w:rPr>
                <w:color w:val="000000"/>
              </w:rPr>
            </w:pPr>
            <w:r w:rsidRPr="00396E70">
              <w:rPr>
                <w:szCs w:val="28"/>
              </w:rPr>
              <w:t>05 1 00 73290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96E70" w:rsidP="00371CD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7922,2</w:t>
            </w:r>
          </w:p>
        </w:tc>
      </w:tr>
      <w:tr w:rsidR="003519EE" w:rsidRPr="00396E70" w:rsidTr="00396E70">
        <w:trPr>
          <w:trHeight w:val="46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Default="003519EE" w:rsidP="00371CD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ИТОГО: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Pr="00100535" w:rsidRDefault="003519EE" w:rsidP="00371CDA">
            <w:pPr>
              <w:jc w:val="center"/>
              <w:rPr>
                <w:szCs w:val="2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Pr="00100535" w:rsidRDefault="003519EE" w:rsidP="00371CDA">
            <w:pPr>
              <w:jc w:val="center"/>
              <w:rPr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Pr="00100535" w:rsidRDefault="003519EE" w:rsidP="00371CDA">
            <w:pPr>
              <w:jc w:val="center"/>
              <w:rPr>
                <w:szCs w:val="28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9EE" w:rsidRPr="00396E70" w:rsidRDefault="00396E70" w:rsidP="00371CDA">
            <w:pPr>
              <w:jc w:val="right"/>
              <w:rPr>
                <w:b/>
                <w:szCs w:val="28"/>
              </w:rPr>
            </w:pPr>
            <w:r w:rsidRPr="00396E70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 xml:space="preserve"> </w:t>
            </w:r>
            <w:r w:rsidRPr="00396E70">
              <w:rPr>
                <w:b/>
                <w:szCs w:val="28"/>
              </w:rPr>
              <w:t>208,8</w:t>
            </w:r>
          </w:p>
        </w:tc>
      </w:tr>
    </w:tbl>
    <w:p w:rsidR="003519EE" w:rsidRPr="00802802" w:rsidRDefault="003519EE" w:rsidP="003519EE">
      <w:pPr>
        <w:spacing w:line="360" w:lineRule="auto"/>
        <w:jc w:val="both"/>
      </w:pPr>
    </w:p>
    <w:p w:rsidR="009C0EC6" w:rsidRDefault="009C0EC6"/>
    <w:sectPr w:rsidR="009C0EC6" w:rsidSect="009C0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9EE"/>
    <w:rsid w:val="003519EE"/>
    <w:rsid w:val="00396E70"/>
    <w:rsid w:val="0059309F"/>
    <w:rsid w:val="009C0EC6"/>
    <w:rsid w:val="00DE2731"/>
    <w:rsid w:val="00E8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ФУ</cp:lastModifiedBy>
  <cp:revision>3</cp:revision>
  <dcterms:created xsi:type="dcterms:W3CDTF">2015-12-01T11:55:00Z</dcterms:created>
  <dcterms:modified xsi:type="dcterms:W3CDTF">2015-12-01T12:04:00Z</dcterms:modified>
</cp:coreProperties>
</file>