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D508E6">
        <w:rPr>
          <w:b/>
          <w:sz w:val="28"/>
          <w:szCs w:val="28"/>
        </w:rPr>
        <w:t>рассмотренных</w:t>
      </w:r>
      <w:proofErr w:type="gramEnd"/>
      <w:r w:rsidRPr="00D508E6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за </w:t>
      </w:r>
      <w:r w:rsidR="00D06E41">
        <w:rPr>
          <w:b/>
          <w:sz w:val="28"/>
          <w:szCs w:val="28"/>
        </w:rPr>
        <w:t>2021</w:t>
      </w:r>
      <w:r w:rsidR="00375A93">
        <w:rPr>
          <w:b/>
          <w:sz w:val="28"/>
          <w:szCs w:val="28"/>
        </w:rPr>
        <w:t xml:space="preserve"> год</w:t>
      </w: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D77F79" w:rsidRPr="006209EC" w:rsidRDefault="00D77F79" w:rsidP="00D77F79">
      <w:pPr>
        <w:jc w:val="center"/>
        <w:rPr>
          <w:sz w:val="28"/>
          <w:szCs w:val="28"/>
        </w:rPr>
      </w:pPr>
      <w:proofErr w:type="gramStart"/>
      <w:r w:rsidRPr="00D508E6">
        <w:rPr>
          <w:b/>
          <w:sz w:val="28"/>
          <w:szCs w:val="28"/>
        </w:rPr>
        <w:t>поступивших</w:t>
      </w:r>
      <w:proofErr w:type="gramEnd"/>
      <w:r w:rsidRPr="00D508E6">
        <w:rPr>
          <w:b/>
          <w:sz w:val="28"/>
          <w:szCs w:val="28"/>
        </w:rPr>
        <w:t xml:space="preserve"> в Администрацию </w:t>
      </w:r>
      <w:r>
        <w:rPr>
          <w:b/>
          <w:sz w:val="28"/>
          <w:szCs w:val="28"/>
        </w:rPr>
        <w:t>Сандатовского сельского поселения</w:t>
      </w:r>
    </w:p>
    <w:p w:rsidR="00D77F79" w:rsidRDefault="00D77F79" w:rsidP="00D77F79">
      <w:pPr>
        <w:jc w:val="center"/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6E41">
        <w:rPr>
          <w:sz w:val="28"/>
          <w:szCs w:val="28"/>
        </w:rPr>
        <w:t>2021</w:t>
      </w:r>
      <w:r w:rsidR="000A5C64">
        <w:rPr>
          <w:sz w:val="28"/>
          <w:szCs w:val="28"/>
        </w:rPr>
        <w:t xml:space="preserve"> </w:t>
      </w:r>
      <w:r w:rsidR="00375A93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Администрацию Сандатовского сельского поселения</w:t>
      </w:r>
      <w:r w:rsidRPr="000B5A7C">
        <w:rPr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>поступило</w:t>
      </w:r>
      <w:r w:rsidR="00ED4254">
        <w:rPr>
          <w:b/>
          <w:sz w:val="28"/>
          <w:szCs w:val="28"/>
        </w:rPr>
        <w:t xml:space="preserve"> </w:t>
      </w:r>
      <w:r w:rsidR="00684CC3">
        <w:rPr>
          <w:b/>
          <w:sz w:val="28"/>
          <w:szCs w:val="28"/>
        </w:rPr>
        <w:t>30</w:t>
      </w:r>
      <w:r w:rsidRPr="00CA1498">
        <w:rPr>
          <w:b/>
          <w:sz w:val="28"/>
          <w:szCs w:val="28"/>
        </w:rPr>
        <w:t xml:space="preserve"> обращени</w:t>
      </w:r>
      <w:r w:rsidR="007360B6">
        <w:rPr>
          <w:b/>
          <w:sz w:val="28"/>
          <w:szCs w:val="28"/>
        </w:rPr>
        <w:t>е</w:t>
      </w:r>
      <w:r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603CE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 20</w:t>
      </w:r>
      <w:r w:rsidR="007360B6">
        <w:rPr>
          <w:sz w:val="28"/>
          <w:szCs w:val="28"/>
        </w:rPr>
        <w:t>2</w:t>
      </w:r>
      <w:r w:rsidR="00D06E4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75A93">
        <w:rPr>
          <w:sz w:val="28"/>
          <w:szCs w:val="28"/>
        </w:rPr>
        <w:t>у</w:t>
      </w:r>
      <w:r>
        <w:rPr>
          <w:sz w:val="28"/>
          <w:szCs w:val="28"/>
        </w:rPr>
        <w:t xml:space="preserve"> обращений </w:t>
      </w:r>
      <w:r w:rsidR="00E027E7">
        <w:rPr>
          <w:sz w:val="28"/>
          <w:szCs w:val="28"/>
        </w:rPr>
        <w:t xml:space="preserve">на </w:t>
      </w:r>
      <w:r w:rsidR="00684CC3">
        <w:rPr>
          <w:sz w:val="28"/>
          <w:szCs w:val="28"/>
        </w:rPr>
        <w:t>1</w:t>
      </w:r>
      <w:r w:rsidR="00E027E7">
        <w:rPr>
          <w:sz w:val="28"/>
          <w:szCs w:val="28"/>
        </w:rPr>
        <w:t xml:space="preserve"> </w:t>
      </w:r>
      <w:r w:rsidR="00365823">
        <w:rPr>
          <w:sz w:val="28"/>
          <w:szCs w:val="28"/>
        </w:rPr>
        <w:t>меньше</w:t>
      </w:r>
      <w:r w:rsidR="00E027E7">
        <w:rPr>
          <w:sz w:val="28"/>
          <w:szCs w:val="28"/>
        </w:rPr>
        <w:t xml:space="preserve">, чем </w:t>
      </w:r>
      <w:r w:rsidR="00603CE9">
        <w:rPr>
          <w:sz w:val="28"/>
          <w:szCs w:val="28"/>
        </w:rPr>
        <w:t xml:space="preserve"> поступивших обращений </w:t>
      </w:r>
      <w:r w:rsidR="00E027E7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D06E4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D06E41">
        <w:rPr>
          <w:sz w:val="28"/>
          <w:szCs w:val="28"/>
        </w:rPr>
        <w:t>(31)</w:t>
      </w:r>
      <w:r>
        <w:rPr>
          <w:sz w:val="28"/>
          <w:szCs w:val="28"/>
        </w:rPr>
        <w:t xml:space="preserve">, </w:t>
      </w:r>
      <w:r w:rsidR="00375A93">
        <w:rPr>
          <w:sz w:val="28"/>
          <w:szCs w:val="28"/>
        </w:rPr>
        <w:t>и на</w:t>
      </w:r>
      <w:r w:rsidR="00D06E41">
        <w:rPr>
          <w:sz w:val="28"/>
          <w:szCs w:val="28"/>
        </w:rPr>
        <w:t xml:space="preserve"> </w:t>
      </w:r>
      <w:r w:rsidR="00684CC3">
        <w:rPr>
          <w:sz w:val="28"/>
          <w:szCs w:val="28"/>
        </w:rPr>
        <w:t>2</w:t>
      </w:r>
      <w:r w:rsidR="007360B6">
        <w:rPr>
          <w:sz w:val="28"/>
          <w:szCs w:val="28"/>
        </w:rPr>
        <w:t xml:space="preserve"> обращений</w:t>
      </w:r>
      <w:r w:rsidR="00375A93">
        <w:rPr>
          <w:sz w:val="28"/>
          <w:szCs w:val="28"/>
        </w:rPr>
        <w:t xml:space="preserve"> меньше в сравнении с 20</w:t>
      </w:r>
      <w:r w:rsidR="00D06E41">
        <w:rPr>
          <w:sz w:val="28"/>
          <w:szCs w:val="28"/>
        </w:rPr>
        <w:t>19</w:t>
      </w:r>
      <w:r w:rsidR="00375A93">
        <w:rPr>
          <w:sz w:val="28"/>
          <w:szCs w:val="28"/>
        </w:rPr>
        <w:t xml:space="preserve"> г.(</w:t>
      </w:r>
      <w:r w:rsidR="00D06E41">
        <w:rPr>
          <w:sz w:val="28"/>
          <w:szCs w:val="28"/>
        </w:rPr>
        <w:t>32</w:t>
      </w:r>
      <w:r w:rsidR="00375A93">
        <w:rPr>
          <w:sz w:val="28"/>
          <w:szCs w:val="28"/>
        </w:rPr>
        <w:t>)</w:t>
      </w:r>
    </w:p>
    <w:p w:rsidR="00D77F79" w:rsidRDefault="00D77F79" w:rsidP="00D77F79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4554"/>
      </w:tblGrid>
      <w:tr w:rsidR="00D77F79" w:rsidTr="00D565BF">
        <w:tc>
          <w:tcPr>
            <w:tcW w:w="4748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D77F7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77F79" w:rsidTr="00D565BF">
        <w:tc>
          <w:tcPr>
            <w:tcW w:w="4748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324225" cy="2047875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за 20</w:t>
      </w:r>
      <w:r w:rsidR="007360B6">
        <w:rPr>
          <w:sz w:val="28"/>
          <w:szCs w:val="28"/>
        </w:rPr>
        <w:t>2</w:t>
      </w:r>
      <w:r w:rsidR="002E623E">
        <w:rPr>
          <w:sz w:val="28"/>
          <w:szCs w:val="28"/>
        </w:rPr>
        <w:t>1</w:t>
      </w:r>
      <w:r w:rsidR="00375A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за </w:t>
      </w:r>
      <w:r w:rsidR="00375A93">
        <w:rPr>
          <w:sz w:val="28"/>
          <w:szCs w:val="28"/>
        </w:rPr>
        <w:t>20</w:t>
      </w:r>
      <w:r w:rsidR="002E623E">
        <w:rPr>
          <w:sz w:val="28"/>
          <w:szCs w:val="28"/>
        </w:rPr>
        <w:t>20</w:t>
      </w:r>
      <w:r w:rsidR="00375A93">
        <w:rPr>
          <w:sz w:val="28"/>
          <w:szCs w:val="28"/>
        </w:rPr>
        <w:t> год</w:t>
      </w:r>
      <w:r>
        <w:rPr>
          <w:sz w:val="28"/>
          <w:szCs w:val="28"/>
        </w:rPr>
        <w:t>, за 20</w:t>
      </w:r>
      <w:r w:rsidR="002E623E">
        <w:rPr>
          <w:sz w:val="28"/>
          <w:szCs w:val="28"/>
        </w:rPr>
        <w:t>19</w:t>
      </w:r>
      <w:r>
        <w:rPr>
          <w:sz w:val="28"/>
          <w:szCs w:val="28"/>
        </w:rPr>
        <w:t xml:space="preserve"> г. с указанием их доли в общем количестве обращений, поступивших соответственно</w:t>
      </w:r>
      <w:r w:rsidRPr="00B7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период за </w:t>
      </w:r>
      <w:r w:rsidR="008B4A62">
        <w:rPr>
          <w:sz w:val="28"/>
          <w:szCs w:val="28"/>
        </w:rPr>
        <w:t>20</w:t>
      </w:r>
      <w:r w:rsidR="007360B6">
        <w:rPr>
          <w:sz w:val="28"/>
          <w:szCs w:val="28"/>
        </w:rPr>
        <w:t>2</w:t>
      </w:r>
      <w:r w:rsidR="002E623E">
        <w:rPr>
          <w:sz w:val="28"/>
          <w:szCs w:val="28"/>
        </w:rPr>
        <w:t>1</w:t>
      </w:r>
      <w:r w:rsidR="00375A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за </w:t>
      </w:r>
      <w:r w:rsidR="007360B6">
        <w:rPr>
          <w:sz w:val="28"/>
          <w:szCs w:val="28"/>
        </w:rPr>
        <w:t>20</w:t>
      </w:r>
      <w:r w:rsidR="002E623E">
        <w:rPr>
          <w:sz w:val="28"/>
          <w:szCs w:val="28"/>
        </w:rPr>
        <w:t>20</w:t>
      </w:r>
      <w:r w:rsidR="00375A93">
        <w:rPr>
          <w:sz w:val="28"/>
          <w:szCs w:val="28"/>
        </w:rPr>
        <w:t> год</w:t>
      </w:r>
      <w:r>
        <w:rPr>
          <w:sz w:val="28"/>
          <w:szCs w:val="28"/>
        </w:rPr>
        <w:t>, за 201</w:t>
      </w:r>
      <w:r w:rsidR="002E623E">
        <w:rPr>
          <w:sz w:val="28"/>
          <w:szCs w:val="28"/>
        </w:rPr>
        <w:t>9</w:t>
      </w:r>
      <w:r>
        <w:rPr>
          <w:sz w:val="28"/>
          <w:szCs w:val="28"/>
        </w:rPr>
        <w:t xml:space="preserve"> г.: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569" w:type="dxa"/>
        <w:jc w:val="center"/>
        <w:tblInd w:w="-2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1"/>
        <w:gridCol w:w="1382"/>
        <w:gridCol w:w="1311"/>
        <w:gridCol w:w="1417"/>
        <w:gridCol w:w="1241"/>
        <w:gridCol w:w="1417"/>
        <w:gridCol w:w="1170"/>
      </w:tblGrid>
      <w:tr w:rsidR="00D77F79" w:rsidRPr="00B22C6D" w:rsidTr="00D565BF">
        <w:trPr>
          <w:jc w:val="center"/>
        </w:trPr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</w:tcBorders>
            <w:vAlign w:val="center"/>
          </w:tcPr>
          <w:p w:rsidR="00D77F79" w:rsidRPr="00F925EB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D77F79" w:rsidRPr="00B22C6D" w:rsidTr="00D565BF">
        <w:trPr>
          <w:trHeight w:val="592"/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000000"/>
            </w:tcBorders>
            <w:vAlign w:val="center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Pr="00AE1739" w:rsidRDefault="00D77F79" w:rsidP="00BA2C87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84CC3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gridSpan w:val="2"/>
            <w:vAlign w:val="center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Pr="00AE1739" w:rsidRDefault="00D77F79" w:rsidP="002E623E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E623E">
              <w:rPr>
                <w:b/>
                <w:sz w:val="24"/>
                <w:szCs w:val="24"/>
              </w:rPr>
              <w:t>20</w:t>
            </w:r>
            <w:r w:rsidR="00C435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587" w:type="dxa"/>
            <w:gridSpan w:val="2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Default="00D77F79" w:rsidP="002E623E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A2C87">
              <w:rPr>
                <w:b/>
                <w:sz w:val="24"/>
                <w:szCs w:val="24"/>
              </w:rPr>
              <w:t>1</w:t>
            </w:r>
            <w:r w:rsidR="002E623E">
              <w:rPr>
                <w:b/>
                <w:sz w:val="24"/>
                <w:szCs w:val="24"/>
              </w:rPr>
              <w:t>9</w:t>
            </w:r>
            <w:r w:rsidR="00BA2C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</w:t>
            </w:r>
          </w:p>
        </w:tc>
      </w:tr>
      <w:tr w:rsidR="00D77F79" w:rsidRPr="00B22C6D" w:rsidTr="00D565BF">
        <w:trPr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31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241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170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BA2C87" w:rsidRPr="00B22C6D" w:rsidTr="000A6825">
        <w:trPr>
          <w:trHeight w:val="615"/>
          <w:jc w:val="center"/>
        </w:trPr>
        <w:tc>
          <w:tcPr>
            <w:tcW w:w="1631" w:type="dxa"/>
            <w:tcBorders>
              <w:top w:val="single" w:sz="8" w:space="0" w:color="000000"/>
            </w:tcBorders>
            <w:vAlign w:val="center"/>
          </w:tcPr>
          <w:p w:rsidR="00BA2C87" w:rsidRPr="00666F8D" w:rsidRDefault="00BA2C87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382" w:type="dxa"/>
            <w:vAlign w:val="center"/>
          </w:tcPr>
          <w:p w:rsidR="00BA2C87" w:rsidRPr="00AE1739" w:rsidRDefault="00684CC3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vAlign w:val="center"/>
          </w:tcPr>
          <w:p w:rsidR="00BA2C87" w:rsidRPr="00D44821" w:rsidRDefault="00684CC3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30,0%</w:t>
            </w:r>
          </w:p>
        </w:tc>
        <w:tc>
          <w:tcPr>
            <w:tcW w:w="1417" w:type="dxa"/>
            <w:vAlign w:val="center"/>
          </w:tcPr>
          <w:p w:rsidR="00BA2C87" w:rsidRPr="00AE1739" w:rsidRDefault="002E623E" w:rsidP="002E74F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vAlign w:val="center"/>
          </w:tcPr>
          <w:p w:rsidR="00BA2C87" w:rsidRPr="00D44821" w:rsidRDefault="002E623E" w:rsidP="002E74F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  <w:r w:rsidR="00BA2C8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A2C87" w:rsidRPr="00AE1739" w:rsidRDefault="002E623E" w:rsidP="002E74F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BA2C87" w:rsidRPr="00D44821" w:rsidRDefault="002E623E" w:rsidP="002E74F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="00BA2C87">
              <w:rPr>
                <w:sz w:val="24"/>
                <w:szCs w:val="24"/>
              </w:rPr>
              <w:t>%</w:t>
            </w:r>
          </w:p>
        </w:tc>
      </w:tr>
      <w:tr w:rsidR="00BA2C87" w:rsidRPr="00B22C6D" w:rsidTr="000A6825">
        <w:trPr>
          <w:trHeight w:val="553"/>
          <w:jc w:val="center"/>
        </w:trPr>
        <w:tc>
          <w:tcPr>
            <w:tcW w:w="1631" w:type="dxa"/>
            <w:vAlign w:val="center"/>
          </w:tcPr>
          <w:p w:rsidR="00BA2C87" w:rsidRPr="00666F8D" w:rsidRDefault="00BA2C87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382" w:type="dxa"/>
            <w:vAlign w:val="center"/>
          </w:tcPr>
          <w:p w:rsidR="00BA2C87" w:rsidRPr="002A4098" w:rsidRDefault="00BA2C87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BA2C87" w:rsidRPr="00D44821" w:rsidRDefault="00BA2C87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A2C87" w:rsidRPr="002A4098" w:rsidRDefault="00BA2C87" w:rsidP="002E74F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A2C87" w:rsidRPr="00D44821" w:rsidRDefault="00BA2C87" w:rsidP="002E74F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A2C87" w:rsidRPr="00AE1739" w:rsidRDefault="00BA2C87" w:rsidP="002E74F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BA2C87" w:rsidRPr="00D44821" w:rsidRDefault="00BA2C87" w:rsidP="002E74F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C87" w:rsidRPr="00B22C6D" w:rsidTr="000A6825">
        <w:trPr>
          <w:trHeight w:val="518"/>
          <w:jc w:val="center"/>
        </w:trPr>
        <w:tc>
          <w:tcPr>
            <w:tcW w:w="1631" w:type="dxa"/>
            <w:vAlign w:val="center"/>
          </w:tcPr>
          <w:p w:rsidR="00BA2C87" w:rsidRPr="00AE1739" w:rsidRDefault="00BA2C87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382" w:type="dxa"/>
            <w:vAlign w:val="center"/>
          </w:tcPr>
          <w:p w:rsidR="00BA2C87" w:rsidRPr="00AE1739" w:rsidRDefault="00684CC3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1" w:type="dxa"/>
            <w:vAlign w:val="center"/>
          </w:tcPr>
          <w:p w:rsidR="00BA2C87" w:rsidRPr="00D44821" w:rsidRDefault="00684CC3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70,0%</w:t>
            </w:r>
            <w:r w:rsidR="00BA2C8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A2C87" w:rsidRPr="00AE1739" w:rsidRDefault="002E623E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1" w:type="dxa"/>
            <w:vAlign w:val="center"/>
          </w:tcPr>
          <w:p w:rsidR="00BA2C87" w:rsidRPr="00D44821" w:rsidRDefault="002E623E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  <w:r w:rsidR="00BA2C87" w:rsidRPr="00D4482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A2C87" w:rsidRPr="002A4098" w:rsidRDefault="002E623E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70" w:type="dxa"/>
            <w:vAlign w:val="center"/>
          </w:tcPr>
          <w:p w:rsidR="00BA2C87" w:rsidRPr="00D44821" w:rsidRDefault="002E623E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  <w:r w:rsidR="00BA2C87">
              <w:rPr>
                <w:sz w:val="24"/>
                <w:szCs w:val="24"/>
              </w:rPr>
              <w:t>%</w:t>
            </w:r>
          </w:p>
        </w:tc>
      </w:tr>
      <w:tr w:rsidR="00BA2C87" w:rsidRPr="00B22C6D" w:rsidTr="000A6825">
        <w:trPr>
          <w:jc w:val="center"/>
        </w:trPr>
        <w:tc>
          <w:tcPr>
            <w:tcW w:w="1631" w:type="dxa"/>
            <w:vAlign w:val="center"/>
          </w:tcPr>
          <w:p w:rsidR="00BA2C87" w:rsidRPr="00AE1739" w:rsidRDefault="00BA2C87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382" w:type="dxa"/>
            <w:vAlign w:val="center"/>
          </w:tcPr>
          <w:p w:rsidR="00BA2C87" w:rsidRDefault="00BA2C87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A2C87" w:rsidRPr="00AE1739" w:rsidRDefault="00684CC3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1" w:type="dxa"/>
            <w:vAlign w:val="center"/>
          </w:tcPr>
          <w:p w:rsidR="00BA2C87" w:rsidRDefault="00BA2C87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A2C87" w:rsidRPr="00D44821" w:rsidRDefault="00BA2C87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BA2C87" w:rsidRDefault="00BA2C87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A2C87" w:rsidRPr="00AE1739" w:rsidRDefault="00BA2C87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1" w:type="dxa"/>
            <w:vAlign w:val="center"/>
          </w:tcPr>
          <w:p w:rsidR="00BA2C87" w:rsidRDefault="00BA2C87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A2C87" w:rsidRPr="00D44821" w:rsidRDefault="00BA2C87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417" w:type="dxa"/>
            <w:vAlign w:val="center"/>
          </w:tcPr>
          <w:p w:rsidR="00BA2C87" w:rsidRDefault="00BA2C87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A2C87" w:rsidRPr="00AE1739" w:rsidRDefault="002E623E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70" w:type="dxa"/>
            <w:vAlign w:val="center"/>
          </w:tcPr>
          <w:p w:rsidR="00BA2C87" w:rsidRDefault="00BA2C87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A2C87" w:rsidRPr="00D44821" w:rsidRDefault="00BA2C87" w:rsidP="002E74F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100,0%</w:t>
            </w:r>
          </w:p>
        </w:tc>
      </w:tr>
    </w:tbl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803"/>
      </w:tblGrid>
      <w:tr w:rsidR="00D77F79" w:rsidTr="000F5FAF">
        <w:tc>
          <w:tcPr>
            <w:tcW w:w="4802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4803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77F79" w:rsidTr="000F5FAF">
        <w:tc>
          <w:tcPr>
            <w:tcW w:w="4802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0F5FAF" w:rsidRPr="00961F85" w:rsidRDefault="000F5FAF" w:rsidP="000F5FA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>Наибольшую социальную и общественную значимость имеют коллективные обращения. В 20</w:t>
      </w:r>
      <w:r w:rsidR="00BA2C87">
        <w:rPr>
          <w:sz w:val="28"/>
          <w:szCs w:val="28"/>
        </w:rPr>
        <w:t>20</w:t>
      </w:r>
      <w:r w:rsidRPr="00961F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961F85">
        <w:rPr>
          <w:b/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0</w:t>
      </w:r>
      <w:r w:rsidRPr="00961F8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0</w:t>
      </w:r>
      <w:r w:rsidRPr="00961F85">
        <w:rPr>
          <w:b/>
          <w:sz w:val="28"/>
          <w:szCs w:val="28"/>
        </w:rPr>
        <w:t xml:space="preserve">%) </w:t>
      </w:r>
      <w:proofErr w:type="gramStart"/>
      <w:r w:rsidRPr="00961F85">
        <w:rPr>
          <w:b/>
          <w:sz w:val="28"/>
          <w:szCs w:val="28"/>
        </w:rPr>
        <w:t>коллективных</w:t>
      </w:r>
      <w:proofErr w:type="gramEnd"/>
      <w:r w:rsidRPr="00961F85">
        <w:rPr>
          <w:b/>
          <w:sz w:val="28"/>
          <w:szCs w:val="28"/>
        </w:rPr>
        <w:t xml:space="preserve"> обращения</w:t>
      </w:r>
      <w:r w:rsidRPr="00961F85">
        <w:rPr>
          <w:sz w:val="28"/>
          <w:szCs w:val="28"/>
        </w:rPr>
        <w:t xml:space="preserve">. </w:t>
      </w:r>
    </w:p>
    <w:p w:rsidR="000F5FAF" w:rsidRDefault="000F5FAF" w:rsidP="000F5FAF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  <w:gridCol w:w="2366"/>
      </w:tblGrid>
      <w:tr w:rsidR="000F5FAF" w:rsidRPr="000503D0" w:rsidTr="000F2D82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0F5FAF" w:rsidRPr="00603424" w:rsidRDefault="000F5FAF" w:rsidP="003C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F5FAF" w:rsidRPr="00AC3EED" w:rsidRDefault="000F5FAF" w:rsidP="00BA2C8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</w:t>
            </w:r>
            <w:r w:rsidR="00AE6FB0">
              <w:rPr>
                <w:sz w:val="28"/>
                <w:szCs w:val="28"/>
              </w:rPr>
              <w:t>21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F5FAF" w:rsidRPr="00603424" w:rsidRDefault="000F5FAF" w:rsidP="00AE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E6F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F5FAF" w:rsidRPr="00603424" w:rsidRDefault="000F5FAF" w:rsidP="00AE6FB0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AE6FB0">
              <w:rPr>
                <w:sz w:val="28"/>
                <w:szCs w:val="28"/>
              </w:rPr>
              <w:t>9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0F5FAF" w:rsidRPr="000503D0" w:rsidTr="000F2D82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0F5FAF" w:rsidRPr="00603424" w:rsidRDefault="000F5FAF" w:rsidP="003C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F5FA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F5FAF" w:rsidRPr="00603424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F5FAF" w:rsidRDefault="000F5FAF" w:rsidP="000F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F5FAF" w:rsidRDefault="000F5FAF" w:rsidP="000F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F5FA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F5FAF" w:rsidRPr="00DC234C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(0%)</w:t>
            </w:r>
          </w:p>
        </w:tc>
      </w:tr>
    </w:tbl>
    <w:p w:rsidR="000F5FAF" w:rsidRDefault="000F5FAF" w:rsidP="000F5FAF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732"/>
      </w:tblGrid>
      <w:tr w:rsidR="000F5FAF" w:rsidTr="003C4882">
        <w:tc>
          <w:tcPr>
            <w:tcW w:w="4748" w:type="dxa"/>
          </w:tcPr>
          <w:p w:rsidR="000F5FAF" w:rsidRPr="00512C84" w:rsidRDefault="000F5FAF" w:rsidP="003C48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0F5FAF" w:rsidRPr="00512C84" w:rsidRDefault="000F5FAF" w:rsidP="003C48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0F5FAF" w:rsidTr="003C4882">
        <w:tc>
          <w:tcPr>
            <w:tcW w:w="4748" w:type="dxa"/>
          </w:tcPr>
          <w:p w:rsidR="000F5FAF" w:rsidRDefault="000F5FAF" w:rsidP="003C488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0F5FAF" w:rsidRDefault="000F5FAF" w:rsidP="003C488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0F5FAF" w:rsidRDefault="000F5FAF" w:rsidP="000F5FAF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E6FB0" w:rsidRDefault="00AE6FB0" w:rsidP="00AE6FB0">
      <w:pPr>
        <w:ind w:firstLine="708"/>
        <w:jc w:val="both"/>
        <w:rPr>
          <w:color w:val="FF0000"/>
          <w:sz w:val="28"/>
          <w:szCs w:val="28"/>
        </w:rPr>
      </w:pPr>
      <w:r w:rsidRPr="00154EB3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>
        <w:rPr>
          <w:sz w:val="28"/>
          <w:szCs w:val="28"/>
        </w:rPr>
        <w:t>Сандатовского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 xml:space="preserve">главы Администрации Сандатовского сельского поселения – 29 обращений (97%). </w:t>
      </w:r>
      <w:r w:rsidRPr="0049399B">
        <w:rPr>
          <w:sz w:val="28"/>
          <w:szCs w:val="28"/>
        </w:rPr>
        <w:t>Часть обращений</w:t>
      </w:r>
      <w:r w:rsidRPr="00FB7DE3">
        <w:rPr>
          <w:color w:val="FF0000"/>
          <w:sz w:val="28"/>
          <w:szCs w:val="28"/>
        </w:rPr>
        <w:t xml:space="preserve"> </w:t>
      </w:r>
      <w:r w:rsidRPr="0049399B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поселения</w:t>
      </w:r>
      <w:r w:rsidRPr="0049399B">
        <w:rPr>
          <w:sz w:val="28"/>
          <w:szCs w:val="28"/>
        </w:rPr>
        <w:t xml:space="preserve"> адресуют в другие инстанции, в том числе в </w:t>
      </w:r>
      <w:r w:rsidRPr="00FE0522">
        <w:rPr>
          <w:b/>
          <w:sz w:val="28"/>
          <w:szCs w:val="28"/>
        </w:rPr>
        <w:t>вышестоящие органы власти</w:t>
      </w:r>
      <w:r>
        <w:rPr>
          <w:sz w:val="28"/>
          <w:szCs w:val="28"/>
        </w:rPr>
        <w:t xml:space="preserve"> – 1 обращение (3%)</w:t>
      </w:r>
    </w:p>
    <w:p w:rsidR="000F5FAF" w:rsidRPr="00BD5469" w:rsidRDefault="000F5FAF" w:rsidP="000F5FAF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701"/>
        <w:gridCol w:w="1843"/>
      </w:tblGrid>
      <w:tr w:rsidR="000F5FAF" w:rsidRPr="0051674F" w:rsidTr="003C48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FAF" w:rsidRDefault="000F5FAF" w:rsidP="003C4882">
            <w:pPr>
              <w:jc w:val="center"/>
              <w:rPr>
                <w:sz w:val="28"/>
                <w:szCs w:val="28"/>
              </w:rPr>
            </w:pPr>
          </w:p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</w:t>
            </w:r>
            <w:proofErr w:type="spellStart"/>
            <w:proofErr w:type="gramStart"/>
            <w:r w:rsidRPr="005167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674F">
              <w:rPr>
                <w:sz w:val="28"/>
                <w:szCs w:val="28"/>
              </w:rPr>
              <w:t>/</w:t>
            </w:r>
            <w:proofErr w:type="spellStart"/>
            <w:r w:rsidRPr="005167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FAF" w:rsidRPr="0051674F" w:rsidRDefault="000F5FAF" w:rsidP="00BA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E6FB0">
              <w:rPr>
                <w:sz w:val="28"/>
                <w:szCs w:val="28"/>
              </w:rPr>
              <w:t>21</w:t>
            </w:r>
            <w:r w:rsidRPr="0051674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0F5FAF" w:rsidRPr="0051674F" w:rsidTr="003C4882">
        <w:tc>
          <w:tcPr>
            <w:tcW w:w="851" w:type="dxa"/>
          </w:tcPr>
          <w:p w:rsidR="000F5FAF" w:rsidRPr="0051674F" w:rsidRDefault="000F5FAF" w:rsidP="000F5FA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F5FAF" w:rsidRPr="0051674F" w:rsidRDefault="000F5FAF" w:rsidP="003C4882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0F5FAF" w:rsidRPr="0051674F" w:rsidRDefault="000F5FAF" w:rsidP="003C4882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0F5FAF" w:rsidRPr="0051674F" w:rsidRDefault="000F5FAF" w:rsidP="003C4882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701" w:type="dxa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F5FA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0F5FAF" w:rsidRDefault="000F5FAF" w:rsidP="003C4882">
            <w:pPr>
              <w:jc w:val="center"/>
              <w:rPr>
                <w:sz w:val="28"/>
                <w:szCs w:val="28"/>
              </w:rPr>
            </w:pPr>
          </w:p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F5FAF" w:rsidRPr="0051674F" w:rsidTr="003C4882">
        <w:tc>
          <w:tcPr>
            <w:tcW w:w="851" w:type="dxa"/>
          </w:tcPr>
          <w:p w:rsidR="000F5FAF" w:rsidRPr="0051674F" w:rsidRDefault="000F5FAF" w:rsidP="000F5FA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F5FAF" w:rsidRPr="0051674F" w:rsidRDefault="000F5FAF" w:rsidP="003C4882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701" w:type="dxa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F5FAF" w:rsidRPr="0051674F" w:rsidTr="003C4882">
        <w:trPr>
          <w:trHeight w:val="339"/>
        </w:trPr>
        <w:tc>
          <w:tcPr>
            <w:tcW w:w="851" w:type="dxa"/>
          </w:tcPr>
          <w:p w:rsidR="000F5FAF" w:rsidRPr="0051674F" w:rsidRDefault="000F5FAF" w:rsidP="000F5FA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F5FAF" w:rsidRPr="0051674F" w:rsidRDefault="000F5FAF" w:rsidP="003C4882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701" w:type="dxa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F5FAF" w:rsidRPr="0051674F" w:rsidTr="003C4882">
        <w:tc>
          <w:tcPr>
            <w:tcW w:w="851" w:type="dxa"/>
          </w:tcPr>
          <w:p w:rsidR="000F5FAF" w:rsidRPr="0051674F" w:rsidRDefault="000F5FAF" w:rsidP="000F5FA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F5FAF" w:rsidRPr="0051674F" w:rsidRDefault="000F5FAF" w:rsidP="003C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701" w:type="dxa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F5FAF" w:rsidRPr="0051674F" w:rsidTr="003C4882">
        <w:tc>
          <w:tcPr>
            <w:tcW w:w="851" w:type="dxa"/>
          </w:tcPr>
          <w:p w:rsidR="000F5FAF" w:rsidRPr="0051674F" w:rsidRDefault="000F5FAF" w:rsidP="000F5FA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F5FAF" w:rsidRPr="0051674F" w:rsidRDefault="000F5FAF" w:rsidP="003C4882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701" w:type="dxa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F5FAF" w:rsidRPr="0051674F" w:rsidTr="003C4882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5FAF" w:rsidRPr="0051674F" w:rsidRDefault="000F5FAF" w:rsidP="000F5FA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F5FAF" w:rsidRPr="0051674F" w:rsidRDefault="000F5FAF" w:rsidP="003C4882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 xml:space="preserve">Сальского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5FAF" w:rsidRPr="0051674F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F5FAF" w:rsidRPr="0051674F" w:rsidTr="003C48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5FAF" w:rsidRPr="0051674F" w:rsidRDefault="000F5FAF" w:rsidP="000F5FA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F5FAF" w:rsidRPr="007561CA" w:rsidRDefault="000F5FAF" w:rsidP="003C48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Сальская</w:t>
            </w:r>
            <w:proofErr w:type="spellEnd"/>
            <w:r>
              <w:rPr>
                <w:sz w:val="28"/>
                <w:szCs w:val="28"/>
              </w:rPr>
              <w:t xml:space="preserve"> городская </w:t>
            </w:r>
            <w:r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5FAF" w:rsidRPr="007561CA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5FAF" w:rsidRPr="007561CA" w:rsidRDefault="000F5FAF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E6FB0" w:rsidRPr="0051674F" w:rsidTr="003C48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6FB0" w:rsidRPr="0051674F" w:rsidRDefault="00AE6FB0" w:rsidP="000F5FA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6FB0" w:rsidRPr="0051674F" w:rsidRDefault="00AE6FB0" w:rsidP="00727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FB0" w:rsidRPr="0051674F" w:rsidRDefault="00AE6FB0" w:rsidP="0072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6FB0" w:rsidRDefault="00AE6FB0" w:rsidP="003C4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</w:tbl>
    <w:p w:rsidR="000F5FAF" w:rsidRDefault="000F5FAF" w:rsidP="000F5FAF">
      <w:pPr>
        <w:ind w:firstLine="709"/>
        <w:jc w:val="both"/>
        <w:rPr>
          <w:sz w:val="28"/>
          <w:szCs w:val="28"/>
        </w:rPr>
      </w:pPr>
    </w:p>
    <w:p w:rsidR="000F5FAF" w:rsidRPr="002C2AA1" w:rsidRDefault="000F5FAF" w:rsidP="000F5FAF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0F5FAF" w:rsidRDefault="000F5FAF" w:rsidP="000F5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</w:t>
      </w:r>
      <w:r w:rsidR="00AE6FB0">
        <w:rPr>
          <w:sz w:val="28"/>
          <w:szCs w:val="28"/>
        </w:rPr>
        <w:t>21</w:t>
      </w:r>
      <w:r w:rsidR="00BA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главой Администрации Сандатовского сельского поселения Сальского района </w:t>
      </w:r>
      <w:r>
        <w:rPr>
          <w:b/>
          <w:sz w:val="28"/>
          <w:szCs w:val="28"/>
        </w:rPr>
        <w:t xml:space="preserve">проведено </w:t>
      </w:r>
      <w:r w:rsidR="00AE6FB0">
        <w:rPr>
          <w:b/>
          <w:sz w:val="28"/>
          <w:szCs w:val="28"/>
        </w:rPr>
        <w:t>29</w:t>
      </w:r>
      <w:r w:rsidRPr="003833A0">
        <w:rPr>
          <w:b/>
          <w:sz w:val="28"/>
          <w:szCs w:val="28"/>
        </w:rPr>
        <w:t xml:space="preserve"> личны</w:t>
      </w:r>
      <w:r w:rsidR="00BA2C87">
        <w:rPr>
          <w:b/>
          <w:sz w:val="28"/>
          <w:szCs w:val="28"/>
        </w:rPr>
        <w:t>й</w:t>
      </w:r>
      <w:r w:rsidRPr="003833A0">
        <w:rPr>
          <w:b/>
          <w:sz w:val="28"/>
          <w:szCs w:val="28"/>
        </w:rPr>
        <w:t xml:space="preserve"> прием</w:t>
      </w:r>
      <w:r>
        <w:rPr>
          <w:sz w:val="28"/>
          <w:szCs w:val="28"/>
        </w:rPr>
        <w:t>, на которых</w:t>
      </w:r>
      <w:r w:rsidRPr="005273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 </w:t>
      </w:r>
      <w:r w:rsidR="00AE6FB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 заявител</w:t>
      </w:r>
      <w:r w:rsidR="00BA2C87">
        <w:rPr>
          <w:b/>
          <w:sz w:val="28"/>
          <w:szCs w:val="28"/>
        </w:rPr>
        <w:t>ь</w:t>
      </w:r>
      <w:r w:rsidRPr="005273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5FAF" w:rsidRDefault="000F5FAF" w:rsidP="000F5FAF">
      <w:pPr>
        <w:ind w:firstLine="709"/>
        <w:jc w:val="both"/>
        <w:rPr>
          <w:sz w:val="28"/>
          <w:szCs w:val="28"/>
        </w:rPr>
      </w:pPr>
      <w:r w:rsidRPr="00703341">
        <w:rPr>
          <w:sz w:val="28"/>
          <w:szCs w:val="28"/>
        </w:rPr>
        <w:t xml:space="preserve">В целях более полного изучения и удовлетворения нужд и запросов граждан  Глава </w:t>
      </w:r>
      <w:r>
        <w:rPr>
          <w:sz w:val="28"/>
          <w:szCs w:val="28"/>
        </w:rPr>
        <w:t xml:space="preserve">Администрации </w:t>
      </w:r>
      <w:r w:rsidRPr="00703341">
        <w:rPr>
          <w:sz w:val="28"/>
          <w:szCs w:val="28"/>
        </w:rPr>
        <w:t xml:space="preserve">Сандатовского сельского поселения прием граждан  согласно графика ведет  по  </w:t>
      </w:r>
      <w:r w:rsidRPr="00703341">
        <w:rPr>
          <w:color w:val="000000"/>
          <w:sz w:val="28"/>
          <w:szCs w:val="28"/>
        </w:rPr>
        <w:t>вторникам, с 14 – 00 до 16 – 00 в с</w:t>
      </w:r>
      <w:proofErr w:type="gramStart"/>
      <w:r w:rsidRPr="00703341">
        <w:rPr>
          <w:color w:val="000000"/>
          <w:sz w:val="28"/>
          <w:szCs w:val="28"/>
        </w:rPr>
        <w:t>.С</w:t>
      </w:r>
      <w:proofErr w:type="gramEnd"/>
      <w:r w:rsidRPr="00703341">
        <w:rPr>
          <w:color w:val="000000"/>
          <w:sz w:val="28"/>
          <w:szCs w:val="28"/>
        </w:rPr>
        <w:t>андата, в среду с    14 – 00 до 16 –</w:t>
      </w:r>
      <w:r w:rsidRPr="00703341">
        <w:rPr>
          <w:sz w:val="28"/>
          <w:szCs w:val="28"/>
        </w:rPr>
        <w:t xml:space="preserve"> 00 в с. Березовка, а также по необходимости  в течение  недели. Специалистами  администрации жители села принимаются  так же  ежедневно, в рабочие дни. </w:t>
      </w:r>
      <w:r>
        <w:rPr>
          <w:sz w:val="28"/>
          <w:szCs w:val="28"/>
        </w:rPr>
        <w:t xml:space="preserve">Проводятся сходы граждан. </w:t>
      </w:r>
      <w:r w:rsidRPr="00703341">
        <w:rPr>
          <w:sz w:val="28"/>
          <w:szCs w:val="28"/>
        </w:rPr>
        <w:t>Информация о дате, месте и времени приема</w:t>
      </w:r>
      <w:r>
        <w:rPr>
          <w:sz w:val="28"/>
          <w:szCs w:val="28"/>
        </w:rPr>
        <w:t xml:space="preserve"> </w:t>
      </w:r>
      <w:r w:rsidRPr="00162848">
        <w:rPr>
          <w:sz w:val="28"/>
          <w:szCs w:val="28"/>
        </w:rPr>
        <w:t>размещаются на официальном с</w:t>
      </w:r>
      <w:r>
        <w:rPr>
          <w:sz w:val="28"/>
          <w:szCs w:val="28"/>
        </w:rPr>
        <w:t>айте Администрации Сандатовского сельского поселения Сальского</w:t>
      </w:r>
      <w:r w:rsidRPr="001628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sandatasp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03341">
        <w:rPr>
          <w:sz w:val="28"/>
          <w:szCs w:val="28"/>
        </w:rPr>
        <w:t>)</w:t>
      </w:r>
      <w:r>
        <w:rPr>
          <w:sz w:val="28"/>
          <w:szCs w:val="28"/>
        </w:rPr>
        <w:t xml:space="preserve">, на </w:t>
      </w:r>
      <w:r w:rsidRPr="00162848">
        <w:rPr>
          <w:sz w:val="28"/>
          <w:szCs w:val="28"/>
        </w:rPr>
        <w:t xml:space="preserve"> информационных стендах </w:t>
      </w:r>
      <w:r>
        <w:rPr>
          <w:sz w:val="28"/>
          <w:szCs w:val="28"/>
        </w:rPr>
        <w:t>Сандатовского сельского поселения во всех населенных пунктах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Сандата, с. Березовка, х. Крупский). За  20</w:t>
      </w:r>
      <w:r w:rsidR="00BA2C87">
        <w:rPr>
          <w:sz w:val="28"/>
          <w:szCs w:val="28"/>
        </w:rPr>
        <w:t>2</w:t>
      </w:r>
      <w:r w:rsidR="00AE6FB0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162848">
        <w:rPr>
          <w:sz w:val="28"/>
          <w:szCs w:val="28"/>
        </w:rPr>
        <w:t xml:space="preserve">проведено </w:t>
      </w:r>
      <w:r w:rsidR="00AE6FB0" w:rsidRPr="00AE6FB0">
        <w:rPr>
          <w:sz w:val="28"/>
          <w:szCs w:val="28"/>
        </w:rPr>
        <w:t>29</w:t>
      </w:r>
      <w:r>
        <w:rPr>
          <w:sz w:val="28"/>
          <w:szCs w:val="28"/>
        </w:rPr>
        <w:t xml:space="preserve"> схода граждан на территории Сандатовского сельского поселения.</w:t>
      </w:r>
    </w:p>
    <w:p w:rsidR="000F5FAF" w:rsidRDefault="000F5FAF" w:rsidP="00D77F79">
      <w:pPr>
        <w:ind w:firstLine="720"/>
        <w:jc w:val="both"/>
        <w:rPr>
          <w:sz w:val="28"/>
          <w:szCs w:val="28"/>
        </w:rPr>
      </w:pPr>
    </w:p>
    <w:p w:rsidR="00D77F79" w:rsidRDefault="00D77F79" w:rsidP="00D77F79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>
        <w:rPr>
          <w:sz w:val="28"/>
          <w:szCs w:val="28"/>
        </w:rPr>
        <w:t xml:space="preserve">Сандатовского сельского поселения  в </w:t>
      </w:r>
      <w:r w:rsidRPr="00830301">
        <w:rPr>
          <w:sz w:val="28"/>
          <w:szCs w:val="28"/>
        </w:rPr>
        <w:t>20</w:t>
      </w:r>
      <w:r w:rsidR="00BA2C87">
        <w:rPr>
          <w:sz w:val="28"/>
          <w:szCs w:val="28"/>
        </w:rPr>
        <w:t>2</w:t>
      </w:r>
      <w:r w:rsidR="00AE6FB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D77F79" w:rsidRDefault="00D77F79" w:rsidP="00D77F79">
      <w:pPr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6188"/>
        <w:gridCol w:w="830"/>
        <w:gridCol w:w="1276"/>
      </w:tblGrid>
      <w:tr w:rsidR="00D77F79" w:rsidRPr="003C313A" w:rsidTr="00D565BF">
        <w:trPr>
          <w:trHeight w:val="353"/>
        </w:trPr>
        <w:tc>
          <w:tcPr>
            <w:tcW w:w="2338" w:type="dxa"/>
          </w:tcPr>
          <w:p w:rsidR="00D77F79" w:rsidRPr="003C313A" w:rsidRDefault="00D77F79" w:rsidP="00D565BF">
            <w:pPr>
              <w:ind w:left="459"/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830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D77F79" w:rsidRPr="003C313A" w:rsidTr="00D565BF">
        <w:trPr>
          <w:trHeight w:val="952"/>
        </w:trPr>
        <w:tc>
          <w:tcPr>
            <w:tcW w:w="2338" w:type="dxa"/>
          </w:tcPr>
          <w:p w:rsidR="00D77F79" w:rsidRPr="00145BBB" w:rsidRDefault="00D77F79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0001.0002.0025.0000</w:t>
            </w:r>
          </w:p>
        </w:tc>
        <w:tc>
          <w:tcPr>
            <w:tcW w:w="6188" w:type="dxa"/>
          </w:tcPr>
          <w:p w:rsidR="00D77F79" w:rsidRPr="00145BBB" w:rsidRDefault="00D77F79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30" w:type="dxa"/>
          </w:tcPr>
          <w:p w:rsidR="00D77F79" w:rsidRPr="003C313A" w:rsidRDefault="00026B60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7F79" w:rsidRPr="003C313A" w:rsidRDefault="00026B60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3,0%</w:t>
            </w:r>
          </w:p>
        </w:tc>
      </w:tr>
      <w:tr w:rsidR="00D77F79" w:rsidRPr="003C313A" w:rsidTr="00D565BF">
        <w:trPr>
          <w:trHeight w:val="312"/>
        </w:trPr>
        <w:tc>
          <w:tcPr>
            <w:tcW w:w="2338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D77F79" w:rsidRPr="003C313A" w:rsidRDefault="00D77F79" w:rsidP="00D565BF">
            <w:pPr>
              <w:jc w:val="both"/>
              <w:rPr>
                <w:b/>
                <w:i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D77F79" w:rsidRPr="003C313A" w:rsidRDefault="00D77F79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3C313A" w:rsidRDefault="00D77F79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77F79" w:rsidRPr="003C313A" w:rsidTr="00D565BF">
        <w:trPr>
          <w:trHeight w:val="520"/>
        </w:trPr>
        <w:tc>
          <w:tcPr>
            <w:tcW w:w="2338" w:type="dxa"/>
          </w:tcPr>
          <w:p w:rsidR="00D77F79" w:rsidRPr="0094486A" w:rsidRDefault="00D77F79" w:rsidP="00D565BF">
            <w:pPr>
              <w:jc w:val="right"/>
              <w:rPr>
                <w:b/>
              </w:rPr>
            </w:pPr>
            <w:r w:rsidRPr="003B0093">
              <w:rPr>
                <w:b/>
                <w:sz w:val="23"/>
                <w:szCs w:val="23"/>
              </w:rPr>
              <w:t>0001.0002.0025.1523</w:t>
            </w:r>
          </w:p>
        </w:tc>
        <w:tc>
          <w:tcPr>
            <w:tcW w:w="6188" w:type="dxa"/>
          </w:tcPr>
          <w:p w:rsidR="00D77F79" w:rsidRPr="0094486A" w:rsidRDefault="00D77F79" w:rsidP="00D565BF">
            <w:r>
              <w:rPr>
                <w:sz w:val="23"/>
                <w:szCs w:val="23"/>
              </w:rPr>
              <w:t>Государственная программа «Содействие занятости населения»</w:t>
            </w:r>
          </w:p>
        </w:tc>
        <w:tc>
          <w:tcPr>
            <w:tcW w:w="830" w:type="dxa"/>
          </w:tcPr>
          <w:p w:rsidR="00D77F79" w:rsidRPr="00723A51" w:rsidRDefault="00374D26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2C65B4" w:rsidRDefault="00374D26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B60" w:rsidRPr="003C313A" w:rsidTr="00D565BF">
        <w:trPr>
          <w:trHeight w:val="520"/>
        </w:trPr>
        <w:tc>
          <w:tcPr>
            <w:tcW w:w="2338" w:type="dxa"/>
          </w:tcPr>
          <w:p w:rsidR="00026B60" w:rsidRPr="003C313A" w:rsidRDefault="00026B60" w:rsidP="00727C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3"/>
                <w:szCs w:val="23"/>
              </w:rPr>
              <w:t>0001.0003</w:t>
            </w:r>
            <w:r w:rsidRPr="003B0093">
              <w:rPr>
                <w:b/>
                <w:sz w:val="23"/>
                <w:szCs w:val="23"/>
              </w:rPr>
              <w:t>.00</w:t>
            </w:r>
            <w:r>
              <w:rPr>
                <w:b/>
                <w:sz w:val="23"/>
                <w:szCs w:val="23"/>
              </w:rPr>
              <w:t>37</w:t>
            </w:r>
            <w:r w:rsidRPr="003B0093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0210</w:t>
            </w:r>
          </w:p>
        </w:tc>
        <w:tc>
          <w:tcPr>
            <w:tcW w:w="6188" w:type="dxa"/>
          </w:tcPr>
          <w:p w:rsidR="00026B60" w:rsidRPr="003C313A" w:rsidRDefault="00026B60" w:rsidP="00727C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3"/>
                <w:szCs w:val="23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830" w:type="dxa"/>
          </w:tcPr>
          <w:p w:rsidR="00026B60" w:rsidRPr="001C7929" w:rsidRDefault="00026B60" w:rsidP="00727C10">
            <w:pPr>
              <w:jc w:val="center"/>
              <w:rPr>
                <w:sz w:val="28"/>
                <w:szCs w:val="28"/>
              </w:rPr>
            </w:pPr>
            <w:r w:rsidRPr="001C79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6B60" w:rsidRDefault="00026B60" w:rsidP="0072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3,0%</w:t>
            </w:r>
          </w:p>
        </w:tc>
      </w:tr>
      <w:tr w:rsidR="00026B60" w:rsidRPr="003C313A" w:rsidTr="00D565BF">
        <w:trPr>
          <w:trHeight w:val="639"/>
        </w:trPr>
        <w:tc>
          <w:tcPr>
            <w:tcW w:w="2338" w:type="dxa"/>
          </w:tcPr>
          <w:p w:rsidR="00026B60" w:rsidRPr="00145BBB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0002.0007.0000.0000</w:t>
            </w:r>
          </w:p>
        </w:tc>
        <w:tc>
          <w:tcPr>
            <w:tcW w:w="6188" w:type="dxa"/>
          </w:tcPr>
          <w:p w:rsidR="00026B60" w:rsidRPr="00145BBB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830" w:type="dxa"/>
          </w:tcPr>
          <w:p w:rsidR="00026B60" w:rsidRPr="003C313A" w:rsidRDefault="00026B60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B60" w:rsidRPr="003C313A" w:rsidRDefault="00026B60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26B60" w:rsidRPr="003C313A" w:rsidTr="00D565BF">
        <w:trPr>
          <w:trHeight w:val="312"/>
        </w:trPr>
        <w:tc>
          <w:tcPr>
            <w:tcW w:w="2338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026B60" w:rsidRPr="003C313A" w:rsidRDefault="00026B60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B60" w:rsidRPr="003C313A" w:rsidTr="00D565BF">
        <w:trPr>
          <w:trHeight w:val="535"/>
        </w:trPr>
        <w:tc>
          <w:tcPr>
            <w:tcW w:w="2338" w:type="dxa"/>
          </w:tcPr>
          <w:p w:rsidR="00026B60" w:rsidRDefault="00026B60" w:rsidP="00D565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0002.0007.0074.0239</w:t>
            </w:r>
          </w:p>
        </w:tc>
        <w:tc>
          <w:tcPr>
            <w:tcW w:w="6188" w:type="dxa"/>
          </w:tcPr>
          <w:p w:rsidR="00026B60" w:rsidRDefault="00026B60" w:rsidP="00D565BF">
            <w:r>
              <w:t>Социальное обеспечение, материальная помощь и льготы инвалидам</w:t>
            </w:r>
          </w:p>
        </w:tc>
        <w:tc>
          <w:tcPr>
            <w:tcW w:w="830" w:type="dxa"/>
          </w:tcPr>
          <w:p w:rsidR="00026B60" w:rsidRPr="00723A51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B60" w:rsidRPr="003C313A" w:rsidTr="00D565BF">
        <w:trPr>
          <w:trHeight w:val="312"/>
        </w:trPr>
        <w:tc>
          <w:tcPr>
            <w:tcW w:w="2338" w:type="dxa"/>
          </w:tcPr>
          <w:p w:rsidR="00026B60" w:rsidRPr="00C8422F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0002.0014.0143.1457</w:t>
            </w:r>
          </w:p>
        </w:tc>
        <w:tc>
          <w:tcPr>
            <w:tcW w:w="6188" w:type="dxa"/>
          </w:tcPr>
          <w:p w:rsidR="00026B60" w:rsidRPr="00C8422F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Устранение дефицита медицинских кадров</w:t>
            </w:r>
          </w:p>
        </w:tc>
        <w:tc>
          <w:tcPr>
            <w:tcW w:w="830" w:type="dxa"/>
          </w:tcPr>
          <w:p w:rsidR="00026B60" w:rsidRPr="00723A51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B60" w:rsidRPr="003C313A" w:rsidTr="00D565BF">
        <w:trPr>
          <w:trHeight w:val="312"/>
        </w:trPr>
        <w:tc>
          <w:tcPr>
            <w:tcW w:w="2338" w:type="dxa"/>
          </w:tcPr>
          <w:p w:rsidR="00026B60" w:rsidRPr="00145BBB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0003.0009.0098.0000</w:t>
            </w:r>
          </w:p>
        </w:tc>
        <w:tc>
          <w:tcPr>
            <w:tcW w:w="6188" w:type="dxa"/>
          </w:tcPr>
          <w:p w:rsidR="00026B60" w:rsidRPr="00145BBB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830" w:type="dxa"/>
          </w:tcPr>
          <w:p w:rsidR="00026B60" w:rsidRPr="003C313A" w:rsidRDefault="00026B60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026B60" w:rsidRPr="003C313A" w:rsidRDefault="00026B60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97,0%</w:t>
            </w:r>
          </w:p>
        </w:tc>
      </w:tr>
      <w:tr w:rsidR="00026B60" w:rsidRPr="003C313A" w:rsidTr="00D565BF">
        <w:trPr>
          <w:trHeight w:val="327"/>
        </w:trPr>
        <w:tc>
          <w:tcPr>
            <w:tcW w:w="2338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026B60" w:rsidRPr="003C313A" w:rsidRDefault="00026B60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B60" w:rsidRPr="003C313A" w:rsidTr="00D565BF">
        <w:trPr>
          <w:trHeight w:val="312"/>
        </w:trPr>
        <w:tc>
          <w:tcPr>
            <w:tcW w:w="2338" w:type="dxa"/>
          </w:tcPr>
          <w:p w:rsidR="00026B60" w:rsidRPr="00057D71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057D71">
              <w:rPr>
                <w:b/>
                <w:color w:val="000000"/>
              </w:rPr>
              <w:t>0003.0009.0098.1119</w:t>
            </w:r>
          </w:p>
        </w:tc>
        <w:tc>
          <w:tcPr>
            <w:tcW w:w="6188" w:type="dxa"/>
          </w:tcPr>
          <w:p w:rsidR="00026B60" w:rsidRPr="00057D71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057D71">
              <w:rPr>
                <w:color w:val="000000"/>
              </w:rPr>
              <w:t>Животноводство</w:t>
            </w:r>
          </w:p>
        </w:tc>
        <w:tc>
          <w:tcPr>
            <w:tcW w:w="830" w:type="dxa"/>
          </w:tcPr>
          <w:p w:rsidR="00026B60" w:rsidRPr="00723A51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B60" w:rsidRPr="00AE4232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B60" w:rsidRPr="003C313A" w:rsidTr="00D565BF">
        <w:trPr>
          <w:trHeight w:val="312"/>
        </w:trPr>
        <w:tc>
          <w:tcPr>
            <w:tcW w:w="2338" w:type="dxa"/>
          </w:tcPr>
          <w:p w:rsidR="00026B60" w:rsidRPr="00C8422F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0003.0009.0100.0419</w:t>
            </w:r>
          </w:p>
        </w:tc>
        <w:tc>
          <w:tcPr>
            <w:tcW w:w="6188" w:type="dxa"/>
          </w:tcPr>
          <w:p w:rsidR="00026B60" w:rsidRPr="00C8422F" w:rsidRDefault="00026B60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830" w:type="dxa"/>
          </w:tcPr>
          <w:p w:rsidR="00026B60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B60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B60" w:rsidRPr="003C313A" w:rsidTr="00D565BF">
        <w:trPr>
          <w:trHeight w:val="327"/>
        </w:trPr>
        <w:tc>
          <w:tcPr>
            <w:tcW w:w="2338" w:type="dxa"/>
          </w:tcPr>
          <w:p w:rsidR="00026B60" w:rsidRPr="0094486A" w:rsidRDefault="00026B60" w:rsidP="00D565BF">
            <w:pPr>
              <w:jc w:val="center"/>
              <w:rPr>
                <w:b/>
              </w:rPr>
            </w:pPr>
            <w:r>
              <w:rPr>
                <w:b/>
              </w:rPr>
              <w:t>0003.0009.0098.0376</w:t>
            </w:r>
          </w:p>
        </w:tc>
        <w:tc>
          <w:tcPr>
            <w:tcW w:w="6188" w:type="dxa"/>
          </w:tcPr>
          <w:p w:rsidR="00026B60" w:rsidRPr="0094486A" w:rsidRDefault="00026B60" w:rsidP="00D565BF">
            <w:r>
              <w:t>Личные подсобные хозяйства</w:t>
            </w:r>
          </w:p>
        </w:tc>
        <w:tc>
          <w:tcPr>
            <w:tcW w:w="830" w:type="dxa"/>
          </w:tcPr>
          <w:p w:rsidR="00026B60" w:rsidRPr="00B07B9B" w:rsidRDefault="00026B60" w:rsidP="00D56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6B60" w:rsidRDefault="00026B60" w:rsidP="00026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3,0%</w:t>
            </w:r>
          </w:p>
        </w:tc>
      </w:tr>
      <w:tr w:rsidR="00026B60" w:rsidRPr="003C313A" w:rsidTr="00D565BF">
        <w:trPr>
          <w:trHeight w:val="312"/>
        </w:trPr>
        <w:tc>
          <w:tcPr>
            <w:tcW w:w="2338" w:type="dxa"/>
          </w:tcPr>
          <w:p w:rsidR="00026B60" w:rsidRPr="0094486A" w:rsidRDefault="00026B60" w:rsidP="00D565BF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0003.0009.0097.1245</w:t>
            </w:r>
          </w:p>
        </w:tc>
        <w:tc>
          <w:tcPr>
            <w:tcW w:w="6188" w:type="dxa"/>
          </w:tcPr>
          <w:p w:rsidR="00026B60" w:rsidRPr="0094486A" w:rsidRDefault="00026B60" w:rsidP="00D565BF">
            <w:r w:rsidRPr="0094486A">
              <w:t>Электроснабжение поселений</w:t>
            </w:r>
          </w:p>
        </w:tc>
        <w:tc>
          <w:tcPr>
            <w:tcW w:w="830" w:type="dxa"/>
          </w:tcPr>
          <w:p w:rsidR="00026B60" w:rsidRPr="00B07B9B" w:rsidRDefault="00026B60" w:rsidP="00D56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26B60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33,3%</w:t>
            </w:r>
          </w:p>
        </w:tc>
      </w:tr>
      <w:tr w:rsidR="00026B60" w:rsidRPr="003C313A" w:rsidTr="00D565BF">
        <w:trPr>
          <w:trHeight w:val="550"/>
        </w:trPr>
        <w:tc>
          <w:tcPr>
            <w:tcW w:w="2338" w:type="dxa"/>
          </w:tcPr>
          <w:p w:rsidR="00026B60" w:rsidRPr="0094486A" w:rsidRDefault="00026B60" w:rsidP="00D565BF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0003.0009.0097.0607</w:t>
            </w:r>
          </w:p>
        </w:tc>
        <w:tc>
          <w:tcPr>
            <w:tcW w:w="6188" w:type="dxa"/>
          </w:tcPr>
          <w:p w:rsidR="00026B60" w:rsidRPr="0094486A" w:rsidRDefault="00026B60" w:rsidP="00D565BF">
            <w:r w:rsidRPr="0094486A">
              <w:t>Благоустройство городов и поселков. Обустройство придомовых территорий</w:t>
            </w:r>
          </w:p>
        </w:tc>
        <w:tc>
          <w:tcPr>
            <w:tcW w:w="830" w:type="dxa"/>
          </w:tcPr>
          <w:p w:rsidR="00026B60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26B60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33,3%</w:t>
            </w:r>
          </w:p>
        </w:tc>
      </w:tr>
      <w:tr w:rsidR="00026B60" w:rsidRPr="003C313A" w:rsidTr="00D565BF">
        <w:trPr>
          <w:trHeight w:val="312"/>
        </w:trPr>
        <w:tc>
          <w:tcPr>
            <w:tcW w:w="2338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026B60" w:rsidRPr="003C313A" w:rsidRDefault="00026B60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B60" w:rsidRPr="003C313A" w:rsidTr="00D565BF">
        <w:trPr>
          <w:trHeight w:val="312"/>
        </w:trPr>
        <w:tc>
          <w:tcPr>
            <w:tcW w:w="2338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 w:rsidRPr="00EB7042">
              <w:rPr>
                <w:b/>
                <w:sz w:val="23"/>
                <w:szCs w:val="23"/>
              </w:rPr>
              <w:t>0004.0016.0163.0527</w:t>
            </w:r>
          </w:p>
        </w:tc>
        <w:tc>
          <w:tcPr>
            <w:tcW w:w="6188" w:type="dxa"/>
            <w:vAlign w:val="center"/>
          </w:tcPr>
          <w:p w:rsidR="00026B60" w:rsidRPr="00723A51" w:rsidRDefault="00026B60" w:rsidP="00D565BF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830" w:type="dxa"/>
          </w:tcPr>
          <w:p w:rsidR="00026B60" w:rsidRPr="00723A51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26B60" w:rsidRPr="003C313A" w:rsidRDefault="00026B60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27,4%</w:t>
            </w:r>
          </w:p>
        </w:tc>
      </w:tr>
    </w:tbl>
    <w:p w:rsidR="00D77F79" w:rsidRDefault="00D77F79" w:rsidP="00D77F79">
      <w:pPr>
        <w:rPr>
          <w:color w:val="FF0000"/>
        </w:rPr>
      </w:pPr>
    </w:p>
    <w:tbl>
      <w:tblPr>
        <w:tblStyle w:val="a5"/>
        <w:tblW w:w="165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  <w:gridCol w:w="6442"/>
      </w:tblGrid>
      <w:tr w:rsidR="00D77F79" w:rsidTr="00B74FED">
        <w:tc>
          <w:tcPr>
            <w:tcW w:w="10065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0F5FAF" w:rsidRDefault="000F5FAF" w:rsidP="00603CD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3CD1" w:rsidRDefault="00603CD1" w:rsidP="00603CD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29D4">
              <w:rPr>
                <w:rFonts w:eastAsia="Calibri"/>
                <w:sz w:val="28"/>
                <w:szCs w:val="28"/>
                <w:lang w:eastAsia="en-US"/>
              </w:rPr>
              <w:t>Учитывая социальную значимость ряда обращений, с целью объективного их рассмотрения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129D4">
              <w:rPr>
                <w:rFonts w:eastAsia="Calibri"/>
                <w:sz w:val="28"/>
                <w:szCs w:val="28"/>
                <w:lang w:eastAsia="en-US"/>
              </w:rPr>
              <w:t xml:space="preserve"> отдельные вопросы рассматривались с выездом на место, с участием заявителя, либо </w:t>
            </w:r>
            <w:proofErr w:type="spellStart"/>
            <w:r w:rsidRPr="00E129D4">
              <w:rPr>
                <w:rFonts w:eastAsia="Calibri"/>
                <w:sz w:val="28"/>
                <w:szCs w:val="28"/>
                <w:lang w:eastAsia="en-US"/>
              </w:rPr>
              <w:t>комиссионно</w:t>
            </w:r>
            <w:proofErr w:type="spellEnd"/>
            <w:r w:rsidRPr="001A6F9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2"/>
              <w:gridCol w:w="1985"/>
              <w:gridCol w:w="1843"/>
              <w:gridCol w:w="1843"/>
            </w:tblGrid>
            <w:tr w:rsidR="00603CD1" w:rsidRPr="000503D0" w:rsidTr="00603CD1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926ACC">
                    <w:rPr>
                      <w:sz w:val="28"/>
                      <w:szCs w:val="28"/>
                    </w:rPr>
                    <w:t>2</w:t>
                  </w:r>
                  <w:r w:rsidR="00026B60">
                    <w:rPr>
                      <w:sz w:val="28"/>
                      <w:szCs w:val="28"/>
                    </w:rPr>
                    <w:t>1</w:t>
                  </w:r>
                  <w:r w:rsidRPr="00603424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 xml:space="preserve">од </w:t>
                  </w:r>
                </w:p>
                <w:p w:rsidR="00603CD1" w:rsidRPr="00AC3EED" w:rsidRDefault="00603CD1" w:rsidP="0001039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20</w:t>
                  </w:r>
                  <w:r w:rsidR="00026B60">
                    <w:rPr>
                      <w:sz w:val="28"/>
                      <w:szCs w:val="28"/>
                    </w:rPr>
                    <w:t>20</w:t>
                  </w:r>
                  <w:r w:rsidRPr="00603424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од</w:t>
                  </w:r>
                </w:p>
                <w:p w:rsidR="00603CD1" w:rsidRPr="00603424" w:rsidRDefault="00603CD1" w:rsidP="000103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026B60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603CD1" w:rsidRPr="00603424" w:rsidRDefault="00603CD1" w:rsidP="00C435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6ACC" w:rsidRPr="000503D0" w:rsidTr="00603CD1">
              <w:trPr>
                <w:trHeight w:val="676"/>
                <w:jc w:val="center"/>
              </w:trPr>
              <w:tc>
                <w:tcPr>
                  <w:tcW w:w="2692" w:type="dxa"/>
                  <w:tcBorders>
                    <w:bottom w:val="single" w:sz="4" w:space="0" w:color="auto"/>
                  </w:tcBorders>
                </w:tcPr>
                <w:p w:rsidR="00926ACC" w:rsidRPr="00603424" w:rsidRDefault="00926ACC" w:rsidP="009C02AE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Комиссионно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926ACC" w:rsidRPr="00FC40F4" w:rsidRDefault="00026B60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926ACC" w:rsidRPr="00FC40F4" w:rsidRDefault="00926ACC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0242E5">
                    <w:rPr>
                      <w:sz w:val="28"/>
                      <w:szCs w:val="28"/>
                    </w:rPr>
                    <w:t>2</w:t>
                  </w:r>
                  <w:r w:rsidR="006D1421">
                    <w:rPr>
                      <w:sz w:val="28"/>
                      <w:szCs w:val="28"/>
                    </w:rPr>
                    <w:t>,5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26ACC" w:rsidRPr="00FC40F4" w:rsidRDefault="00026B60" w:rsidP="00A86F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926ACC" w:rsidRPr="00FC40F4" w:rsidRDefault="00926ACC" w:rsidP="00026B60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026B60">
                    <w:rPr>
                      <w:sz w:val="28"/>
                      <w:szCs w:val="28"/>
                    </w:rPr>
                    <w:t>35,5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26ACC" w:rsidRDefault="00026B60" w:rsidP="00A86F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  <w:p w:rsidR="00926ACC" w:rsidRPr="00FC40F4" w:rsidRDefault="00926ACC" w:rsidP="00026B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026B60">
                    <w:rPr>
                      <w:sz w:val="28"/>
                      <w:szCs w:val="28"/>
                    </w:rPr>
                    <w:t>46,9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926ACC" w:rsidRPr="000503D0" w:rsidTr="00603CD1">
              <w:trPr>
                <w:jc w:val="center"/>
              </w:trPr>
              <w:tc>
                <w:tcPr>
                  <w:tcW w:w="2692" w:type="dxa"/>
                </w:tcPr>
                <w:p w:rsidR="00926ACC" w:rsidRPr="00603424" w:rsidRDefault="00926ACC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выездом на место</w:t>
                  </w:r>
                </w:p>
              </w:tc>
              <w:tc>
                <w:tcPr>
                  <w:tcW w:w="1985" w:type="dxa"/>
                </w:tcPr>
                <w:p w:rsidR="00926ACC" w:rsidRPr="00FC40F4" w:rsidRDefault="006D142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26B60">
                    <w:rPr>
                      <w:sz w:val="28"/>
                      <w:szCs w:val="28"/>
                    </w:rPr>
                    <w:t>9</w:t>
                  </w:r>
                </w:p>
                <w:p w:rsidR="00926ACC" w:rsidRPr="00FC40F4" w:rsidRDefault="00926ACC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0242E5">
                    <w:rPr>
                      <w:sz w:val="28"/>
                      <w:szCs w:val="28"/>
                    </w:rPr>
                    <w:t>97,5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926ACC" w:rsidRPr="00FC40F4" w:rsidRDefault="00026B60" w:rsidP="00A86F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  <w:p w:rsidR="00926ACC" w:rsidRPr="00FC40F4" w:rsidRDefault="00926ACC" w:rsidP="00026B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026B60">
                    <w:rPr>
                      <w:sz w:val="28"/>
                      <w:szCs w:val="28"/>
                    </w:rPr>
                    <w:t>64,5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926ACC" w:rsidRPr="00FC40F4" w:rsidRDefault="00026B60" w:rsidP="00A86F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926ACC" w:rsidRPr="00FC40F4" w:rsidRDefault="00926ACC" w:rsidP="00026B60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026B60">
                    <w:rPr>
                      <w:sz w:val="28"/>
                      <w:szCs w:val="28"/>
                    </w:rPr>
                    <w:t>53,1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</w:tr>
          </w:tbl>
          <w:p w:rsidR="00603CD1" w:rsidRDefault="00603CD1" w:rsidP="00603CD1">
            <w:pPr>
              <w:jc w:val="center"/>
              <w:rPr>
                <w:sz w:val="28"/>
                <w:szCs w:val="28"/>
              </w:rPr>
            </w:pPr>
          </w:p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t>Сравнительное количество обращений граждан, рассмотренных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1F90">
              <w:rPr>
                <w:b/>
                <w:sz w:val="28"/>
                <w:szCs w:val="28"/>
              </w:rPr>
              <w:t>комиссионно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603CD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</w:t>
                  </w:r>
                  <w:proofErr w:type="gramStart"/>
                  <w:r>
                    <w:rPr>
                      <w:sz w:val="24"/>
                      <w:szCs w:val="28"/>
                    </w:rPr>
                    <w:t xml:space="preserve"> (%)</w:t>
                  </w:r>
                  <w:proofErr w:type="gramEnd"/>
                </w:p>
              </w:tc>
            </w:tr>
            <w:tr w:rsidR="00603CD1" w:rsidTr="00603CD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73829" cy="1922704"/>
                        <wp:effectExtent l="0" t="0" r="0" b="0"/>
                        <wp:docPr id="3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63372" cy="2291937"/>
                        <wp:effectExtent l="0" t="0" r="0" b="0"/>
                        <wp:docPr id="15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42E5" w:rsidRDefault="000242E5" w:rsidP="00603CD1">
            <w:pPr>
              <w:jc w:val="center"/>
              <w:rPr>
                <w:sz w:val="28"/>
                <w:szCs w:val="28"/>
              </w:rPr>
            </w:pPr>
          </w:p>
          <w:p w:rsidR="000242E5" w:rsidRDefault="000242E5" w:rsidP="00603CD1">
            <w:pPr>
              <w:jc w:val="center"/>
              <w:rPr>
                <w:sz w:val="28"/>
                <w:szCs w:val="28"/>
              </w:rPr>
            </w:pPr>
          </w:p>
          <w:p w:rsidR="000242E5" w:rsidRDefault="000242E5" w:rsidP="00603CD1">
            <w:pPr>
              <w:jc w:val="center"/>
              <w:rPr>
                <w:sz w:val="28"/>
                <w:szCs w:val="28"/>
              </w:rPr>
            </w:pPr>
          </w:p>
          <w:p w:rsidR="000242E5" w:rsidRDefault="000242E5" w:rsidP="00603CD1">
            <w:pPr>
              <w:jc w:val="center"/>
              <w:rPr>
                <w:sz w:val="28"/>
                <w:szCs w:val="28"/>
              </w:rPr>
            </w:pPr>
          </w:p>
          <w:p w:rsidR="000242E5" w:rsidRDefault="000242E5" w:rsidP="00603CD1">
            <w:pPr>
              <w:jc w:val="center"/>
              <w:rPr>
                <w:sz w:val="28"/>
                <w:szCs w:val="28"/>
              </w:rPr>
            </w:pPr>
          </w:p>
          <w:p w:rsidR="000242E5" w:rsidRDefault="000242E5" w:rsidP="00603CD1">
            <w:pPr>
              <w:jc w:val="center"/>
              <w:rPr>
                <w:sz w:val="28"/>
                <w:szCs w:val="28"/>
              </w:rPr>
            </w:pPr>
          </w:p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lastRenderedPageBreak/>
              <w:t>Сравнительное количество обращений граждан,</w:t>
            </w:r>
            <w:r>
              <w:rPr>
                <w:sz w:val="28"/>
                <w:szCs w:val="28"/>
              </w:rPr>
              <w:br/>
            </w:r>
            <w:r w:rsidRPr="005F1F90">
              <w:rPr>
                <w:sz w:val="28"/>
                <w:szCs w:val="28"/>
              </w:rPr>
              <w:t>рассмотренных</w:t>
            </w:r>
            <w:r>
              <w:rPr>
                <w:sz w:val="28"/>
                <w:szCs w:val="28"/>
              </w:rPr>
              <w:t xml:space="preserve"> </w:t>
            </w:r>
            <w:r w:rsidRPr="005F1F90">
              <w:rPr>
                <w:b/>
                <w:sz w:val="28"/>
                <w:szCs w:val="28"/>
              </w:rPr>
              <w:t>с выездом на место</w:t>
            </w:r>
            <w:r>
              <w:rPr>
                <w:sz w:val="28"/>
                <w:szCs w:val="28"/>
              </w:rPr>
              <w:t>: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603CD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176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</w:t>
                  </w:r>
                  <w:proofErr w:type="gramStart"/>
                  <w:r>
                    <w:rPr>
                      <w:sz w:val="24"/>
                      <w:szCs w:val="28"/>
                    </w:rPr>
                    <w:t xml:space="preserve"> (%)</w:t>
                  </w:r>
                  <w:proofErr w:type="gramEnd"/>
                </w:p>
              </w:tc>
            </w:tr>
            <w:tr w:rsidR="00603CD1" w:rsidTr="00603CD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37263" cy="2150383"/>
                        <wp:effectExtent l="0" t="0" r="0" b="0"/>
                        <wp:docPr id="16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5709" cy="2232561"/>
                        <wp:effectExtent l="0" t="0" r="0" b="0"/>
                        <wp:docPr id="17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03CD1" w:rsidRPr="00603424" w:rsidRDefault="00603CD1" w:rsidP="00603CD1">
            <w:pPr>
              <w:pStyle w:val="3"/>
              <w:spacing w:after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Эффективность работы с обращениями граждан оценивается результатами рассмотрения обращений.</w:t>
            </w:r>
            <w:r w:rsidRPr="00603424">
              <w:rPr>
                <w:b/>
                <w:sz w:val="28"/>
                <w:szCs w:val="28"/>
              </w:rPr>
              <w:t xml:space="preserve"> </w:t>
            </w:r>
          </w:p>
          <w:p w:rsidR="00603CD1" w:rsidRPr="001A6F92" w:rsidRDefault="00603CD1" w:rsidP="00603CD1">
            <w:pPr>
              <w:pStyle w:val="3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20</w:t>
            </w:r>
            <w:r w:rsidR="000242E5">
              <w:rPr>
                <w:sz w:val="28"/>
                <w:szCs w:val="28"/>
              </w:rPr>
              <w:t>21</w:t>
            </w:r>
            <w:r w:rsidR="00E56AA2">
              <w:rPr>
                <w:sz w:val="28"/>
                <w:szCs w:val="28"/>
              </w:rPr>
              <w:t xml:space="preserve"> г.</w:t>
            </w:r>
            <w:r w:rsidRPr="001A6F9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рассмотрении в Администрации Сандатовского сельского поселения находил</w:t>
            </w:r>
            <w:r w:rsidR="006A4C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сь </w:t>
            </w:r>
            <w:r w:rsidR="00E56AA2">
              <w:rPr>
                <w:sz w:val="28"/>
                <w:szCs w:val="28"/>
              </w:rPr>
              <w:t>3</w:t>
            </w:r>
            <w:r w:rsidR="000242E5">
              <w:rPr>
                <w:sz w:val="28"/>
                <w:szCs w:val="28"/>
              </w:rPr>
              <w:t>0</w:t>
            </w:r>
            <w:r w:rsidR="00344673">
              <w:rPr>
                <w:sz w:val="28"/>
                <w:szCs w:val="28"/>
              </w:rPr>
              <w:t xml:space="preserve"> обращени</w:t>
            </w:r>
            <w:r w:rsidR="00DF01C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из них:</w:t>
            </w:r>
          </w:p>
          <w:p w:rsidR="00603CD1" w:rsidRPr="000503D0" w:rsidRDefault="00603CD1" w:rsidP="00603CD1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tbl>
            <w:tblPr>
              <w:tblW w:w="8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2799"/>
              <w:gridCol w:w="1560"/>
              <w:gridCol w:w="1559"/>
              <w:gridCol w:w="1559"/>
            </w:tblGrid>
            <w:tr w:rsidR="00603CD1" w:rsidRPr="000503D0" w:rsidTr="00603CD1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03424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03424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603424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7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Pr="00AC3EED" w:rsidRDefault="00603CD1" w:rsidP="006D1421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0242E5">
                    <w:rPr>
                      <w:sz w:val="28"/>
                      <w:szCs w:val="28"/>
                    </w:rPr>
                    <w:t>21</w:t>
                  </w:r>
                  <w:r w:rsidR="006D1421">
                    <w:rPr>
                      <w:sz w:val="28"/>
                      <w:szCs w:val="28"/>
                    </w:rPr>
                    <w:t xml:space="preserve"> </w:t>
                  </w:r>
                  <w:r w:rsidRPr="00603424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603CD1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0242E5">
                    <w:rPr>
                      <w:sz w:val="28"/>
                      <w:szCs w:val="28"/>
                    </w:rPr>
                    <w:t>20</w:t>
                  </w:r>
                  <w:r w:rsidR="006D142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603CD1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0242E5">
                    <w:rPr>
                      <w:sz w:val="28"/>
                      <w:szCs w:val="28"/>
                    </w:rPr>
                    <w:t>19</w:t>
                  </w:r>
                  <w:r w:rsidR="006D142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6D1421" w:rsidRPr="000503D0" w:rsidTr="00603CD1">
              <w:trPr>
                <w:trHeight w:val="758"/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6D1421" w:rsidRPr="00603424" w:rsidRDefault="006D142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6D1421" w:rsidRPr="00603424" w:rsidRDefault="006D142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D1421" w:rsidRPr="00FC40F4" w:rsidRDefault="000242E5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  <w:p w:rsidR="006D1421" w:rsidRPr="00FC40F4" w:rsidRDefault="006D1421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 xml:space="preserve"> (</w:t>
                  </w:r>
                  <w:r w:rsidR="000242E5">
                    <w:rPr>
                      <w:sz w:val="28"/>
                      <w:szCs w:val="28"/>
                    </w:rPr>
                    <w:t>100</w:t>
                  </w:r>
                  <w:r w:rsidR="00F94EE3">
                    <w:rPr>
                      <w:sz w:val="28"/>
                      <w:szCs w:val="28"/>
                    </w:rPr>
                    <w:t>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D1421" w:rsidRPr="00FC40F4" w:rsidRDefault="000242E5" w:rsidP="00A86F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  <w:p w:rsidR="006D1421" w:rsidRPr="00FC40F4" w:rsidRDefault="006D1421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 xml:space="preserve"> (</w:t>
                  </w:r>
                  <w:r w:rsidR="000242E5">
                    <w:rPr>
                      <w:sz w:val="28"/>
                      <w:szCs w:val="28"/>
                    </w:rPr>
                    <w:t>71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D1421" w:rsidRDefault="000242E5" w:rsidP="00A86F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="006D14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1421" w:rsidRDefault="006D1421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0242E5">
                    <w:rPr>
                      <w:sz w:val="28"/>
                      <w:szCs w:val="28"/>
                    </w:rPr>
                    <w:t>78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D1421" w:rsidRPr="000503D0" w:rsidTr="00603CD1">
              <w:trPr>
                <w:jc w:val="center"/>
              </w:trPr>
              <w:tc>
                <w:tcPr>
                  <w:tcW w:w="817" w:type="dxa"/>
                </w:tcPr>
                <w:p w:rsidR="006D1421" w:rsidRPr="00603424" w:rsidRDefault="006D142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0342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99" w:type="dxa"/>
                </w:tcPr>
                <w:p w:rsidR="006D1421" w:rsidRPr="00603424" w:rsidRDefault="006D142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разъяснено</w:t>
                  </w:r>
                </w:p>
              </w:tc>
              <w:tc>
                <w:tcPr>
                  <w:tcW w:w="1560" w:type="dxa"/>
                </w:tcPr>
                <w:p w:rsidR="006D1421" w:rsidRPr="00FC40F4" w:rsidRDefault="000242E5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6D1421" w:rsidRPr="00FC40F4" w:rsidRDefault="006D1421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F94EE3">
                    <w:rPr>
                      <w:sz w:val="28"/>
                      <w:szCs w:val="28"/>
                    </w:rPr>
                    <w:t>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D1421" w:rsidRPr="00FC40F4" w:rsidRDefault="000242E5" w:rsidP="00A86F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6D1421" w:rsidRPr="00FC40F4" w:rsidRDefault="006D1421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0242E5">
                    <w:rPr>
                      <w:sz w:val="28"/>
                      <w:szCs w:val="28"/>
                    </w:rPr>
                    <w:t>29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D1421" w:rsidRDefault="000242E5" w:rsidP="00A86F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6D1421" w:rsidRDefault="006D1421" w:rsidP="000242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0242E5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не 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Pr="00DC234C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tbl>
            <w:tblPr>
              <w:tblStyle w:val="a5"/>
              <w:tblW w:w="988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9"/>
              <w:gridCol w:w="4870"/>
            </w:tblGrid>
            <w:tr w:rsidR="00344673" w:rsidTr="00344673">
              <w:trPr>
                <w:trHeight w:val="95"/>
              </w:trPr>
              <w:tc>
                <w:tcPr>
                  <w:tcW w:w="5019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870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</w:t>
                  </w:r>
                  <w:proofErr w:type="gramStart"/>
                  <w:r>
                    <w:rPr>
                      <w:sz w:val="24"/>
                      <w:szCs w:val="28"/>
                    </w:rPr>
                    <w:t xml:space="preserve"> (%)</w:t>
                  </w:r>
                  <w:proofErr w:type="gramEnd"/>
                </w:p>
              </w:tc>
            </w:tr>
            <w:tr w:rsidR="00344673" w:rsidTr="00344673">
              <w:tc>
                <w:tcPr>
                  <w:tcW w:w="5019" w:type="dxa"/>
                </w:tcPr>
                <w:p w:rsidR="00344673" w:rsidRDefault="00344673" w:rsidP="003201BA">
                  <w:pPr>
                    <w:pStyle w:val="3"/>
                    <w:spacing w:after="0"/>
                    <w:ind w:left="-6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3914775" cy="3895725"/>
                        <wp:effectExtent l="19050" t="0" r="9525" b="0"/>
                        <wp:docPr id="19" name="Диаграмма 1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0" w:type="dxa"/>
                </w:tcPr>
                <w:tbl>
                  <w:tblPr>
                    <w:tblW w:w="5077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80"/>
                    <w:gridCol w:w="80"/>
                    <w:gridCol w:w="4443"/>
                    <w:gridCol w:w="80"/>
                    <w:gridCol w:w="80"/>
                    <w:gridCol w:w="30"/>
                    <w:gridCol w:w="48"/>
                    <w:gridCol w:w="32"/>
                    <w:gridCol w:w="46"/>
                    <w:gridCol w:w="50"/>
                    <w:gridCol w:w="28"/>
                    <w:gridCol w:w="80"/>
                  </w:tblGrid>
                  <w:tr w:rsidR="00344673" w:rsidRPr="00DA4D81" w:rsidTr="0036600D">
                    <w:trPr>
                      <w:trHeight w:val="262"/>
                    </w:trPr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ind w:right="567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949781" cy="3016332"/>
                              <wp:effectExtent l="19050" t="0" r="22019" b="0"/>
                              <wp:docPr id="6" name="Диаграмма 20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9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6600D">
                    <w:trPr>
                      <w:trHeight w:val="262"/>
                    </w:trPr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6600D">
                    <w:trPr>
                      <w:trHeight w:val="80"/>
                    </w:trPr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6600D">
                    <w:trPr>
                      <w:trHeight w:val="262"/>
                    </w:trPr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6600D">
                    <w:trPr>
                      <w:trHeight w:val="262"/>
                    </w:trPr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6600D">
                    <w:trPr>
                      <w:trHeight w:val="262"/>
                    </w:trPr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6600D">
                    <w:trPr>
                      <w:trHeight w:val="262"/>
                    </w:trPr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673" w:rsidRDefault="00344673" w:rsidP="003201BA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6442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proofErr w:type="gramStart"/>
            <w:r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</w:tbl>
    <w:p w:rsidR="002678C3" w:rsidRDefault="002678C3" w:rsidP="00344673">
      <w:pPr>
        <w:jc w:val="both"/>
        <w:rPr>
          <w:sz w:val="28"/>
          <w:szCs w:val="28"/>
        </w:rPr>
      </w:pPr>
    </w:p>
    <w:sectPr w:rsidR="002678C3" w:rsidSect="00C43553">
      <w:footerReference w:type="default" r:id="rId20"/>
      <w:pgSz w:w="11906" w:h="16838"/>
      <w:pgMar w:top="426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0F" w:rsidRDefault="0055180F">
      <w:r>
        <w:separator/>
      </w:r>
    </w:p>
  </w:endnote>
  <w:endnote w:type="continuationSeparator" w:id="0">
    <w:p w:rsidR="0055180F" w:rsidRDefault="0055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6D" w:rsidRDefault="00C17F99">
    <w:pPr>
      <w:pStyle w:val="a3"/>
      <w:jc w:val="right"/>
    </w:pPr>
    <w:fldSimple w:instr=" PAGE   \* MERGEFORMAT ">
      <w:r w:rsidR="000242E5">
        <w:rPr>
          <w:noProof/>
        </w:rPr>
        <w:t>1</w:t>
      </w:r>
    </w:fldSimple>
  </w:p>
  <w:p w:rsidR="0010156D" w:rsidRDefault="001015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0F" w:rsidRDefault="0055180F">
      <w:r>
        <w:separator/>
      </w:r>
    </w:p>
  </w:footnote>
  <w:footnote w:type="continuationSeparator" w:id="0">
    <w:p w:rsidR="0055180F" w:rsidRDefault="00551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D0"/>
    <w:rsid w:val="000033B5"/>
    <w:rsid w:val="00004329"/>
    <w:rsid w:val="0001039B"/>
    <w:rsid w:val="0001567A"/>
    <w:rsid w:val="00021B82"/>
    <w:rsid w:val="000242E5"/>
    <w:rsid w:val="00026624"/>
    <w:rsid w:val="00026B60"/>
    <w:rsid w:val="00027CD6"/>
    <w:rsid w:val="000333AC"/>
    <w:rsid w:val="0003534B"/>
    <w:rsid w:val="00046916"/>
    <w:rsid w:val="00046F58"/>
    <w:rsid w:val="000503D0"/>
    <w:rsid w:val="0006098E"/>
    <w:rsid w:val="00061793"/>
    <w:rsid w:val="00083EA5"/>
    <w:rsid w:val="000873B7"/>
    <w:rsid w:val="000948B3"/>
    <w:rsid w:val="000A4CFE"/>
    <w:rsid w:val="000A5C64"/>
    <w:rsid w:val="000B3B53"/>
    <w:rsid w:val="000B5A7C"/>
    <w:rsid w:val="000B7C31"/>
    <w:rsid w:val="000C2776"/>
    <w:rsid w:val="000C32AC"/>
    <w:rsid w:val="000C7106"/>
    <w:rsid w:val="000D0090"/>
    <w:rsid w:val="000D1170"/>
    <w:rsid w:val="000D1B5F"/>
    <w:rsid w:val="000E18CF"/>
    <w:rsid w:val="000F2D66"/>
    <w:rsid w:val="000F3553"/>
    <w:rsid w:val="000F46D9"/>
    <w:rsid w:val="000F5FAF"/>
    <w:rsid w:val="0010156D"/>
    <w:rsid w:val="001060F2"/>
    <w:rsid w:val="00117413"/>
    <w:rsid w:val="00132E05"/>
    <w:rsid w:val="0014059F"/>
    <w:rsid w:val="001405A0"/>
    <w:rsid w:val="0015011F"/>
    <w:rsid w:val="00162848"/>
    <w:rsid w:val="00171AE7"/>
    <w:rsid w:val="00180688"/>
    <w:rsid w:val="00183E38"/>
    <w:rsid w:val="00191568"/>
    <w:rsid w:val="001A6F92"/>
    <w:rsid w:val="001C3D6E"/>
    <w:rsid w:val="001D2327"/>
    <w:rsid w:val="001D4F32"/>
    <w:rsid w:val="001E10C0"/>
    <w:rsid w:val="001E682F"/>
    <w:rsid w:val="001F2D7C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3584F"/>
    <w:rsid w:val="002416C4"/>
    <w:rsid w:val="0024441B"/>
    <w:rsid w:val="00244C54"/>
    <w:rsid w:val="00245635"/>
    <w:rsid w:val="002477D8"/>
    <w:rsid w:val="00250BF2"/>
    <w:rsid w:val="0025359C"/>
    <w:rsid w:val="00257365"/>
    <w:rsid w:val="0025759A"/>
    <w:rsid w:val="00260201"/>
    <w:rsid w:val="002650D4"/>
    <w:rsid w:val="002678C3"/>
    <w:rsid w:val="00272A45"/>
    <w:rsid w:val="00277893"/>
    <w:rsid w:val="0029070A"/>
    <w:rsid w:val="0029517F"/>
    <w:rsid w:val="002A2E5A"/>
    <w:rsid w:val="002A3AB4"/>
    <w:rsid w:val="002A4376"/>
    <w:rsid w:val="002B57B0"/>
    <w:rsid w:val="002B58A6"/>
    <w:rsid w:val="002C26C6"/>
    <w:rsid w:val="002C2AA1"/>
    <w:rsid w:val="002C65B4"/>
    <w:rsid w:val="002D4A9D"/>
    <w:rsid w:val="002D6533"/>
    <w:rsid w:val="002E32E3"/>
    <w:rsid w:val="002E4232"/>
    <w:rsid w:val="002E623E"/>
    <w:rsid w:val="002E65F8"/>
    <w:rsid w:val="00301233"/>
    <w:rsid w:val="00305DF4"/>
    <w:rsid w:val="00310A58"/>
    <w:rsid w:val="00324AFF"/>
    <w:rsid w:val="003402FF"/>
    <w:rsid w:val="00344673"/>
    <w:rsid w:val="00345235"/>
    <w:rsid w:val="003472CF"/>
    <w:rsid w:val="00350E60"/>
    <w:rsid w:val="003518B4"/>
    <w:rsid w:val="00352B16"/>
    <w:rsid w:val="00355AC6"/>
    <w:rsid w:val="00365823"/>
    <w:rsid w:val="0036600D"/>
    <w:rsid w:val="003668E4"/>
    <w:rsid w:val="00370E2F"/>
    <w:rsid w:val="00374386"/>
    <w:rsid w:val="00374D26"/>
    <w:rsid w:val="00375A93"/>
    <w:rsid w:val="00376241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E1E57"/>
    <w:rsid w:val="003E2ED6"/>
    <w:rsid w:val="003F743F"/>
    <w:rsid w:val="00401EEC"/>
    <w:rsid w:val="00402F01"/>
    <w:rsid w:val="00405412"/>
    <w:rsid w:val="004119DD"/>
    <w:rsid w:val="0044071A"/>
    <w:rsid w:val="0044546D"/>
    <w:rsid w:val="00447FC6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1133"/>
    <w:rsid w:val="005273AB"/>
    <w:rsid w:val="00531EE6"/>
    <w:rsid w:val="00532FBB"/>
    <w:rsid w:val="005347CE"/>
    <w:rsid w:val="005415E6"/>
    <w:rsid w:val="005451BD"/>
    <w:rsid w:val="0055180F"/>
    <w:rsid w:val="005518C4"/>
    <w:rsid w:val="005525D6"/>
    <w:rsid w:val="00557114"/>
    <w:rsid w:val="005A6FE4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3CD1"/>
    <w:rsid w:val="00603CE9"/>
    <w:rsid w:val="00604AD1"/>
    <w:rsid w:val="0060733C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45DEC"/>
    <w:rsid w:val="00650D66"/>
    <w:rsid w:val="00657DE1"/>
    <w:rsid w:val="00666F8D"/>
    <w:rsid w:val="006738E5"/>
    <w:rsid w:val="00676204"/>
    <w:rsid w:val="00684CC3"/>
    <w:rsid w:val="00686A71"/>
    <w:rsid w:val="0069404F"/>
    <w:rsid w:val="006A144D"/>
    <w:rsid w:val="006A2BC8"/>
    <w:rsid w:val="006A4C7B"/>
    <w:rsid w:val="006A591F"/>
    <w:rsid w:val="006B0737"/>
    <w:rsid w:val="006B3893"/>
    <w:rsid w:val="006B6DAF"/>
    <w:rsid w:val="006C2F34"/>
    <w:rsid w:val="006C3405"/>
    <w:rsid w:val="006C4E8C"/>
    <w:rsid w:val="006C6AC7"/>
    <w:rsid w:val="006D1421"/>
    <w:rsid w:val="006D2F83"/>
    <w:rsid w:val="006F2563"/>
    <w:rsid w:val="006F59A3"/>
    <w:rsid w:val="007059B1"/>
    <w:rsid w:val="00712D5A"/>
    <w:rsid w:val="007137CF"/>
    <w:rsid w:val="007158A7"/>
    <w:rsid w:val="00726240"/>
    <w:rsid w:val="00733C43"/>
    <w:rsid w:val="00736044"/>
    <w:rsid w:val="007360B6"/>
    <w:rsid w:val="007455AE"/>
    <w:rsid w:val="007464AB"/>
    <w:rsid w:val="00747188"/>
    <w:rsid w:val="00752E96"/>
    <w:rsid w:val="00761AF2"/>
    <w:rsid w:val="007626D7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19B0"/>
    <w:rsid w:val="007E2583"/>
    <w:rsid w:val="007E62FC"/>
    <w:rsid w:val="007E71E0"/>
    <w:rsid w:val="007F1A8E"/>
    <w:rsid w:val="007F52FF"/>
    <w:rsid w:val="007F5B61"/>
    <w:rsid w:val="007F65F7"/>
    <w:rsid w:val="007F6E69"/>
    <w:rsid w:val="00801367"/>
    <w:rsid w:val="00801873"/>
    <w:rsid w:val="00825245"/>
    <w:rsid w:val="0083016A"/>
    <w:rsid w:val="00831DC2"/>
    <w:rsid w:val="008331BC"/>
    <w:rsid w:val="00840193"/>
    <w:rsid w:val="00844055"/>
    <w:rsid w:val="0084592F"/>
    <w:rsid w:val="00846451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96F40"/>
    <w:rsid w:val="008A37D7"/>
    <w:rsid w:val="008B0E18"/>
    <w:rsid w:val="008B2B10"/>
    <w:rsid w:val="008B3D44"/>
    <w:rsid w:val="008B4A62"/>
    <w:rsid w:val="008C36B2"/>
    <w:rsid w:val="008D16A8"/>
    <w:rsid w:val="008D1B1A"/>
    <w:rsid w:val="008D1E49"/>
    <w:rsid w:val="008D4109"/>
    <w:rsid w:val="008E4B3D"/>
    <w:rsid w:val="008F6681"/>
    <w:rsid w:val="0090010D"/>
    <w:rsid w:val="009004ED"/>
    <w:rsid w:val="00902101"/>
    <w:rsid w:val="009028AA"/>
    <w:rsid w:val="00912755"/>
    <w:rsid w:val="0092034B"/>
    <w:rsid w:val="009265CF"/>
    <w:rsid w:val="00926ACC"/>
    <w:rsid w:val="00933F72"/>
    <w:rsid w:val="009365B9"/>
    <w:rsid w:val="00937082"/>
    <w:rsid w:val="0093793A"/>
    <w:rsid w:val="00940064"/>
    <w:rsid w:val="009459CF"/>
    <w:rsid w:val="0095002B"/>
    <w:rsid w:val="00956CFE"/>
    <w:rsid w:val="00961F85"/>
    <w:rsid w:val="00963BF6"/>
    <w:rsid w:val="00971942"/>
    <w:rsid w:val="00974558"/>
    <w:rsid w:val="0098066D"/>
    <w:rsid w:val="00987A70"/>
    <w:rsid w:val="00993E30"/>
    <w:rsid w:val="009B4086"/>
    <w:rsid w:val="009B5DDA"/>
    <w:rsid w:val="009C056A"/>
    <w:rsid w:val="009C3B05"/>
    <w:rsid w:val="009D1423"/>
    <w:rsid w:val="009D3432"/>
    <w:rsid w:val="009D6CA0"/>
    <w:rsid w:val="009F1DCB"/>
    <w:rsid w:val="00A00CA7"/>
    <w:rsid w:val="00A103AF"/>
    <w:rsid w:val="00A115E1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9745D"/>
    <w:rsid w:val="00AA218D"/>
    <w:rsid w:val="00AA36C2"/>
    <w:rsid w:val="00AA7279"/>
    <w:rsid w:val="00AB292F"/>
    <w:rsid w:val="00AC00DB"/>
    <w:rsid w:val="00AC3EED"/>
    <w:rsid w:val="00AC42C3"/>
    <w:rsid w:val="00AD18EC"/>
    <w:rsid w:val="00AE0E99"/>
    <w:rsid w:val="00AE1739"/>
    <w:rsid w:val="00AE2816"/>
    <w:rsid w:val="00AE4232"/>
    <w:rsid w:val="00AE6FB0"/>
    <w:rsid w:val="00AE74BE"/>
    <w:rsid w:val="00AF06C9"/>
    <w:rsid w:val="00AF2D3D"/>
    <w:rsid w:val="00AF5DB3"/>
    <w:rsid w:val="00B008DE"/>
    <w:rsid w:val="00B10C9E"/>
    <w:rsid w:val="00B117C3"/>
    <w:rsid w:val="00B12BA2"/>
    <w:rsid w:val="00B16182"/>
    <w:rsid w:val="00B204E3"/>
    <w:rsid w:val="00B22C6D"/>
    <w:rsid w:val="00B23116"/>
    <w:rsid w:val="00B232DF"/>
    <w:rsid w:val="00B2662E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74FED"/>
    <w:rsid w:val="00B84D09"/>
    <w:rsid w:val="00B9026F"/>
    <w:rsid w:val="00B90DA4"/>
    <w:rsid w:val="00B90F9C"/>
    <w:rsid w:val="00B9236C"/>
    <w:rsid w:val="00B95297"/>
    <w:rsid w:val="00B9533D"/>
    <w:rsid w:val="00BA2C87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11A11"/>
    <w:rsid w:val="00C17F99"/>
    <w:rsid w:val="00C20C01"/>
    <w:rsid w:val="00C23E8F"/>
    <w:rsid w:val="00C2719C"/>
    <w:rsid w:val="00C43553"/>
    <w:rsid w:val="00C62559"/>
    <w:rsid w:val="00C713E7"/>
    <w:rsid w:val="00C72499"/>
    <w:rsid w:val="00C7272B"/>
    <w:rsid w:val="00C751F4"/>
    <w:rsid w:val="00C874B1"/>
    <w:rsid w:val="00C90BAC"/>
    <w:rsid w:val="00C930C1"/>
    <w:rsid w:val="00C97ED9"/>
    <w:rsid w:val="00CA1498"/>
    <w:rsid w:val="00CA4695"/>
    <w:rsid w:val="00CB0BF7"/>
    <w:rsid w:val="00CB4B75"/>
    <w:rsid w:val="00CB713B"/>
    <w:rsid w:val="00CC4729"/>
    <w:rsid w:val="00CD1A99"/>
    <w:rsid w:val="00CD2C46"/>
    <w:rsid w:val="00CE3825"/>
    <w:rsid w:val="00CF0611"/>
    <w:rsid w:val="00CF37F8"/>
    <w:rsid w:val="00D04D5B"/>
    <w:rsid w:val="00D06E41"/>
    <w:rsid w:val="00D105DC"/>
    <w:rsid w:val="00D12849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38E"/>
    <w:rsid w:val="00D71972"/>
    <w:rsid w:val="00D77F79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5C5D"/>
    <w:rsid w:val="00DB7229"/>
    <w:rsid w:val="00DB7E26"/>
    <w:rsid w:val="00DC234C"/>
    <w:rsid w:val="00DD589F"/>
    <w:rsid w:val="00DD5E02"/>
    <w:rsid w:val="00DE1D8E"/>
    <w:rsid w:val="00DE2EAD"/>
    <w:rsid w:val="00DE7F2A"/>
    <w:rsid w:val="00DF01C8"/>
    <w:rsid w:val="00DF528D"/>
    <w:rsid w:val="00DF6F51"/>
    <w:rsid w:val="00E013BD"/>
    <w:rsid w:val="00E01C8F"/>
    <w:rsid w:val="00E02673"/>
    <w:rsid w:val="00E027E7"/>
    <w:rsid w:val="00E10243"/>
    <w:rsid w:val="00E129D4"/>
    <w:rsid w:val="00E136FA"/>
    <w:rsid w:val="00E13D22"/>
    <w:rsid w:val="00E1572A"/>
    <w:rsid w:val="00E30AAC"/>
    <w:rsid w:val="00E37D4F"/>
    <w:rsid w:val="00E44072"/>
    <w:rsid w:val="00E44FD4"/>
    <w:rsid w:val="00E45368"/>
    <w:rsid w:val="00E50005"/>
    <w:rsid w:val="00E515B8"/>
    <w:rsid w:val="00E56AA2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B49FB"/>
    <w:rsid w:val="00EC6D6B"/>
    <w:rsid w:val="00EC7DF3"/>
    <w:rsid w:val="00ED4254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47D"/>
    <w:rsid w:val="00F05CB2"/>
    <w:rsid w:val="00F0659F"/>
    <w:rsid w:val="00F14303"/>
    <w:rsid w:val="00F15DB0"/>
    <w:rsid w:val="00F16E73"/>
    <w:rsid w:val="00F30FD8"/>
    <w:rsid w:val="00F3236B"/>
    <w:rsid w:val="00F41B17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4EE3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77F7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77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3.6303485320148932E-2"/>
          <c:w val="0.9148095929016512"/>
          <c:h val="0.821782091192089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4205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86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70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2020 г.</c:v>
                </c:pt>
                <c:pt idx="1">
                  <c:v>2019 г.</c:v>
                </c:pt>
                <c:pt idx="2">
                  <c:v>2021г.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32</c:v>
                </c:pt>
                <c:pt idx="2">
                  <c:v>30</c:v>
                </c:pt>
              </c:numCache>
            </c:numRef>
          </c:val>
        </c:ser>
        <c:gapDepth val="0"/>
        <c:shape val="box"/>
        <c:axId val="87422464"/>
        <c:axId val="87548288"/>
        <c:axId val="0"/>
      </c:bar3DChart>
      <c:catAx>
        <c:axId val="87422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7548288"/>
        <c:crosses val="autoZero"/>
        <c:auto val="1"/>
        <c:lblAlgn val="ctr"/>
        <c:lblOffset val="100"/>
        <c:tickLblSkip val="1"/>
        <c:tickMarkSkip val="1"/>
      </c:catAx>
      <c:valAx>
        <c:axId val="875482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7422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2020г.</c:v>
                </c:pt>
                <c:pt idx="1">
                  <c:v> 2019 г.</c:v>
                </c:pt>
                <c:pt idx="2">
                  <c:v>2021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64.5</c:v>
                </c:pt>
                <c:pt idx="1">
                  <c:v>53.1</c:v>
                </c:pt>
                <c:pt idx="2">
                  <c:v>97.5</c:v>
                </c:pt>
              </c:numCache>
            </c:numRef>
          </c:val>
        </c:ser>
        <c:gapDepth val="0"/>
        <c:shape val="box"/>
        <c:axId val="109445888"/>
        <c:axId val="109447424"/>
        <c:axId val="0"/>
      </c:bar3DChart>
      <c:catAx>
        <c:axId val="1094458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9447424"/>
        <c:crosses val="autoZero"/>
        <c:auto val="1"/>
        <c:lblAlgn val="ctr"/>
        <c:lblOffset val="100"/>
        <c:tickLblSkip val="1"/>
        <c:tickMarkSkip val="1"/>
      </c:catAx>
      <c:valAx>
        <c:axId val="1094474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9445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20531499256023764"/>
          <c:y val="0.13459959314376671"/>
          <c:w val="0.66571258884610229"/>
          <c:h val="0.4847310834311955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 г. </c:v>
                </c:pt>
                <c:pt idx="1">
                  <c:v>2019г.</c:v>
                </c:pt>
                <c:pt idx="2">
                  <c:v>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2020 г. </c:v>
                </c:pt>
                <c:pt idx="1">
                  <c:v>2019г.</c:v>
                </c:pt>
                <c:pt idx="2">
                  <c:v>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 г. </c:v>
                </c:pt>
                <c:pt idx="1">
                  <c:v>2019г.</c:v>
                </c:pt>
                <c:pt idx="2">
                  <c:v>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09486464"/>
        <c:axId val="109488000"/>
        <c:axId val="71416448"/>
      </c:bar3DChart>
      <c:catAx>
        <c:axId val="109486464"/>
        <c:scaling>
          <c:orientation val="minMax"/>
        </c:scaling>
        <c:axPos val="b"/>
        <c:tickLblPos val="nextTo"/>
        <c:crossAx val="109488000"/>
        <c:crosses val="autoZero"/>
        <c:auto val="1"/>
        <c:lblAlgn val="ctr"/>
        <c:lblOffset val="100"/>
      </c:catAx>
      <c:valAx>
        <c:axId val="109488000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tickLblPos val="nextTo"/>
        <c:crossAx val="109486464"/>
        <c:crosses val="autoZero"/>
        <c:crossBetween val="between"/>
      </c:valAx>
      <c:serAx>
        <c:axId val="71416448"/>
        <c:scaling>
          <c:orientation val="minMax"/>
        </c:scaling>
        <c:delete val="1"/>
        <c:axPos val="b"/>
        <c:tickLblPos val="none"/>
        <c:crossAx val="109488000"/>
        <c:crosses val="autoZero"/>
      </c:serAx>
    </c:plotArea>
    <c:legend>
      <c:legendPos val="r"/>
      <c:layout>
        <c:manualLayout>
          <c:xMode val="edge"/>
          <c:yMode val="edge"/>
          <c:x val="0.56230485787816664"/>
          <c:y val="0.62673391987370775"/>
          <c:w val="0.39227746166765948"/>
          <c:h val="0.18988994346366891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219767305206271"/>
          <c:y val="5.4886710589748339E-2"/>
          <c:w val="0.65462101343270473"/>
          <c:h val="0.5933097648508152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2019г.</c:v>
                </c:pt>
                <c:pt idx="2">
                  <c:v>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78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2019г.</c:v>
                </c:pt>
                <c:pt idx="2">
                  <c:v>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2020г.</c:v>
                </c:pt>
                <c:pt idx="1">
                  <c:v>2019г.</c:v>
                </c:pt>
                <c:pt idx="2">
                  <c:v>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07578880"/>
        <c:axId val="107580416"/>
        <c:axId val="87362176"/>
      </c:bar3DChart>
      <c:catAx>
        <c:axId val="107578880"/>
        <c:scaling>
          <c:orientation val="minMax"/>
        </c:scaling>
        <c:axPos val="b"/>
        <c:tickLblPos val="nextTo"/>
        <c:crossAx val="107580416"/>
        <c:crosses val="autoZero"/>
        <c:auto val="1"/>
        <c:lblAlgn val="ctr"/>
        <c:lblOffset val="100"/>
      </c:catAx>
      <c:valAx>
        <c:axId val="107580416"/>
        <c:scaling>
          <c:orientation val="minMax"/>
        </c:scaling>
        <c:axPos val="l"/>
        <c:majorGridlines/>
        <c:numFmt formatCode="General" sourceLinked="1"/>
        <c:tickLblPos val="nextTo"/>
        <c:crossAx val="107578880"/>
        <c:crosses val="autoZero"/>
        <c:crossBetween val="between"/>
      </c:valAx>
      <c:serAx>
        <c:axId val="87362176"/>
        <c:scaling>
          <c:orientation val="minMax"/>
        </c:scaling>
        <c:delete val="1"/>
        <c:axPos val="b"/>
        <c:tickLblPos val="none"/>
        <c:crossAx val="107580416"/>
        <c:crosses val="autoZero"/>
      </c:serAx>
    </c:plotArea>
    <c:legend>
      <c:legendPos val="r"/>
      <c:layout>
        <c:manualLayout>
          <c:xMode val="edge"/>
          <c:yMode val="edge"/>
          <c:x val="0.5670444627257416"/>
          <c:y val="0.62466834502830004"/>
          <c:w val="0.43295553727426433"/>
          <c:h val="0.23592408091845671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90695657580719"/>
          <c:y val="3.6303485320148932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2020г.</c:v>
                </c:pt>
                <c:pt idx="1">
                  <c:v> 2019 г.</c:v>
                </c:pt>
                <c:pt idx="2">
                  <c:v>2021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97</c:v>
                </c:pt>
                <c:pt idx="1">
                  <c:v>100</c:v>
                </c:pt>
                <c:pt idx="2">
                  <c:v>94</c:v>
                </c:pt>
              </c:numCache>
            </c:numRef>
          </c:val>
        </c:ser>
        <c:gapDepth val="0"/>
        <c:shape val="box"/>
        <c:axId val="88014208"/>
        <c:axId val="88487040"/>
        <c:axId val="0"/>
      </c:bar3DChart>
      <c:catAx>
        <c:axId val="88014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487040"/>
        <c:crosses val="autoZero"/>
        <c:auto val="1"/>
        <c:lblAlgn val="ctr"/>
        <c:lblOffset val="100"/>
        <c:tickLblSkip val="1"/>
        <c:tickMarkSkip val="1"/>
      </c:catAx>
      <c:valAx>
        <c:axId val="884870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014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767E-3"/>
                </c:manualLayout>
              </c:layout>
              <c:showVal val="1"/>
            </c:dLbl>
            <c:dLbl>
              <c:idx val="1"/>
              <c:layout>
                <c:manualLayout>
                  <c:x val="1.6903537212647791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2468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2020г.</c:v>
                </c:pt>
                <c:pt idx="1">
                  <c:v>2019г.</c:v>
                </c:pt>
                <c:pt idx="2">
                  <c:v>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2020г.</c:v>
                </c:pt>
                <c:pt idx="1">
                  <c:v>2019г.</c:v>
                </c:pt>
                <c:pt idx="2">
                  <c:v> 2021г.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2020г.</c:v>
                </c:pt>
                <c:pt idx="1">
                  <c:v>2019г.</c:v>
                </c:pt>
                <c:pt idx="2">
                  <c:v> 2021г.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21</c:v>
                </c:pt>
                <c:pt idx="1">
                  <c:v>28</c:v>
                </c:pt>
                <c:pt idx="2">
                  <c:v>21</c:v>
                </c:pt>
              </c:numCache>
            </c:numRef>
          </c:val>
        </c:ser>
        <c:gapDepth val="0"/>
        <c:shape val="box"/>
        <c:axId val="88776704"/>
        <c:axId val="88778240"/>
        <c:axId val="0"/>
      </c:bar3DChart>
      <c:catAx>
        <c:axId val="88776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778240"/>
        <c:crosses val="autoZero"/>
        <c:auto val="1"/>
        <c:lblAlgn val="ctr"/>
        <c:lblOffset val="100"/>
        <c:tickLblSkip val="1"/>
        <c:tickMarkSkip val="1"/>
      </c:catAx>
      <c:valAx>
        <c:axId val="887782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776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400506"/>
          <c:w val="1"/>
          <c:h val="0.13073435750601428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813E-2"/>
                  <c:y val="-1.7293467687168767E-3"/>
                </c:manualLayout>
              </c:layout>
              <c:showVal val="1"/>
            </c:dLbl>
            <c:dLbl>
              <c:idx val="1"/>
              <c:layout>
                <c:manualLayout>
                  <c:x val="1.277557023638340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2020г.</c:v>
                </c:pt>
                <c:pt idx="1">
                  <c:v>2019г.</c:v>
                </c:pt>
                <c:pt idx="2">
                  <c:v>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0.00">
                  <c:v>32.300000000000011</c:v>
                </c:pt>
                <c:pt idx="1">
                  <c:v>12.5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2020г.</c:v>
                </c:pt>
                <c:pt idx="1">
                  <c:v>2019г.</c:v>
                </c:pt>
                <c:pt idx="2">
                  <c:v>2021г.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858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2020г.</c:v>
                </c:pt>
                <c:pt idx="1">
                  <c:v>2019г.</c:v>
                </c:pt>
                <c:pt idx="2">
                  <c:v>2021г.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67.7</c:v>
                </c:pt>
                <c:pt idx="1">
                  <c:v>87.5</c:v>
                </c:pt>
                <c:pt idx="2">
                  <c:v>70</c:v>
                </c:pt>
              </c:numCache>
            </c:numRef>
          </c:val>
        </c:ser>
        <c:gapDepth val="0"/>
        <c:shape val="box"/>
        <c:axId val="90192896"/>
        <c:axId val="90376448"/>
        <c:axId val="0"/>
      </c:bar3DChart>
      <c:catAx>
        <c:axId val="90192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0376448"/>
        <c:crosses val="autoZero"/>
        <c:auto val="1"/>
        <c:lblAlgn val="ctr"/>
        <c:lblOffset val="100"/>
        <c:tickLblSkip val="1"/>
        <c:tickMarkSkip val="1"/>
      </c:catAx>
      <c:valAx>
        <c:axId val="90376448"/>
        <c:scaling>
          <c:orientation val="minMax"/>
        </c:scaling>
        <c:axPos val="l"/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01928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701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2020г.</c:v>
                </c:pt>
                <c:pt idx="1">
                  <c:v> 2019 г.</c:v>
                </c:pt>
                <c:pt idx="2">
                  <c:v>2021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">
                  <c:v>0</c:v>
                </c:pt>
              </c:numCache>
            </c:numRef>
          </c:val>
        </c:ser>
        <c:gapDepth val="0"/>
        <c:shape val="box"/>
        <c:axId val="90581248"/>
        <c:axId val="90611712"/>
        <c:axId val="0"/>
      </c:bar3DChart>
      <c:catAx>
        <c:axId val="905812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0611712"/>
        <c:crosses val="autoZero"/>
        <c:auto val="1"/>
        <c:lblAlgn val="ctr"/>
        <c:lblOffset val="100"/>
        <c:tickLblSkip val="1"/>
        <c:tickMarkSkip val="1"/>
      </c:catAx>
      <c:valAx>
        <c:axId val="906117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0581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2020 г.</c:v>
                </c:pt>
                <c:pt idx="1">
                  <c:v>2019 г.</c:v>
                </c:pt>
                <c:pt idx="2">
                  <c:v>2021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90663168"/>
        <c:axId val="90985984"/>
        <c:axId val="0"/>
      </c:bar3DChart>
      <c:catAx>
        <c:axId val="906631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0985984"/>
        <c:crosses val="autoZero"/>
        <c:auto val="1"/>
        <c:lblAlgn val="ctr"/>
        <c:lblOffset val="100"/>
        <c:tickLblSkip val="1"/>
        <c:tickMarkSkip val="1"/>
      </c:catAx>
      <c:valAx>
        <c:axId val="909859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0663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2020г.</c:v>
                </c:pt>
                <c:pt idx="1">
                  <c:v>  2019г.</c:v>
                </c:pt>
                <c:pt idx="2">
                  <c:v>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96578176"/>
        <c:axId val="98567680"/>
        <c:axId val="0"/>
      </c:bar3DChart>
      <c:catAx>
        <c:axId val="965781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8567680"/>
        <c:crosses val="autoZero"/>
        <c:auto val="1"/>
        <c:lblAlgn val="ctr"/>
        <c:lblOffset val="100"/>
        <c:tickLblSkip val="1"/>
        <c:tickMarkSkip val="1"/>
      </c:catAx>
      <c:valAx>
        <c:axId val="985676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6578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802615299221401"/>
          <c:y val="6.0760456558371929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2020г</c:v>
                </c:pt>
                <c:pt idx="1">
                  <c:v> 2019г</c:v>
                </c:pt>
                <c:pt idx="2">
                  <c:v>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35.5</c:v>
                </c:pt>
                <c:pt idx="1">
                  <c:v>46.9</c:v>
                </c:pt>
                <c:pt idx="2">
                  <c:v>2.5</c:v>
                </c:pt>
              </c:numCache>
            </c:numRef>
          </c:val>
        </c:ser>
        <c:gapDepth val="0"/>
        <c:shape val="box"/>
        <c:axId val="98653312"/>
        <c:axId val="98672640"/>
        <c:axId val="0"/>
      </c:bar3DChart>
      <c:catAx>
        <c:axId val="98653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8672640"/>
        <c:crosses val="autoZero"/>
        <c:auto val="1"/>
        <c:lblAlgn val="ctr"/>
        <c:lblOffset val="100"/>
        <c:tickLblSkip val="1"/>
        <c:tickMarkSkip val="1"/>
      </c:catAx>
      <c:valAx>
        <c:axId val="986726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8653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2020г</c:v>
                </c:pt>
                <c:pt idx="1">
                  <c:v>2019 г.</c:v>
                </c:pt>
                <c:pt idx="2">
                  <c:v>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17</c:v>
                </c:pt>
                <c:pt idx="2">
                  <c:v>29</c:v>
                </c:pt>
              </c:numCache>
            </c:numRef>
          </c:val>
        </c:ser>
        <c:gapDepth val="0"/>
        <c:shape val="box"/>
        <c:axId val="96508160"/>
        <c:axId val="109031424"/>
        <c:axId val="0"/>
      </c:bar3DChart>
      <c:catAx>
        <c:axId val="965081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9031424"/>
        <c:crosses val="autoZero"/>
        <c:auto val="1"/>
        <c:lblAlgn val="ctr"/>
        <c:lblOffset val="100"/>
        <c:tickLblSkip val="1"/>
        <c:tickMarkSkip val="1"/>
      </c:catAx>
      <c:valAx>
        <c:axId val="1090314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6508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DB0D-3B11-4F8F-BC10-7ED7DAA3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36</cp:revision>
  <cp:lastPrinted>2020-12-22T06:11:00Z</cp:lastPrinted>
  <dcterms:created xsi:type="dcterms:W3CDTF">2019-02-04T06:05:00Z</dcterms:created>
  <dcterms:modified xsi:type="dcterms:W3CDTF">2021-11-12T07:23:00Z</dcterms:modified>
</cp:coreProperties>
</file>